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EE5" w:rsidRDefault="00DE3EE5">
      <w:pPr>
        <w:widowControl w:val="0"/>
        <w:tabs>
          <w:tab w:val="left" w:pos="960"/>
          <w:tab w:val="right" w:pos="8840"/>
        </w:tabs>
        <w:jc w:val="center"/>
        <w:rPr>
          <w:rFonts w:ascii="Arial" w:eastAsia="Arial" w:hAnsi="Arial" w:cs="Arial"/>
          <w:b/>
          <w:sz w:val="20"/>
          <w:szCs w:val="20"/>
        </w:rPr>
      </w:pPr>
      <w:bookmarkStart w:id="0" w:name="_GoBack"/>
      <w:bookmarkEnd w:id="0"/>
      <w:r>
        <w:rPr>
          <w:rFonts w:ascii="Arial" w:eastAsia="Arial" w:hAnsi="Arial" w:cs="Arial"/>
          <w:b/>
          <w:sz w:val="20"/>
          <w:szCs w:val="20"/>
        </w:rPr>
        <w:t xml:space="preserve">INVITACIÓN PÚBLICA </w:t>
      </w:r>
      <w:r w:rsidR="00EE21AA">
        <w:rPr>
          <w:rFonts w:ascii="Arial" w:eastAsia="Arial" w:hAnsi="Arial" w:cs="Arial"/>
          <w:b/>
          <w:sz w:val="20"/>
          <w:szCs w:val="20"/>
        </w:rPr>
        <w:t>VA-</w:t>
      </w:r>
      <w:r w:rsidR="005B5B44">
        <w:rPr>
          <w:rFonts w:ascii="Arial" w:eastAsia="Arial" w:hAnsi="Arial" w:cs="Arial"/>
          <w:b/>
          <w:sz w:val="20"/>
          <w:szCs w:val="20"/>
        </w:rPr>
        <w:t>DSL-063-2020</w:t>
      </w:r>
    </w:p>
    <w:p w:rsidR="00A21A77" w:rsidRPr="00883068" w:rsidRDefault="00344F9E">
      <w:pPr>
        <w:widowControl w:val="0"/>
        <w:tabs>
          <w:tab w:val="left" w:pos="960"/>
          <w:tab w:val="right" w:pos="8840"/>
        </w:tabs>
        <w:jc w:val="center"/>
        <w:rPr>
          <w:rFonts w:ascii="Arial" w:eastAsia="Arial" w:hAnsi="Arial" w:cs="Arial"/>
          <w:b/>
          <w:sz w:val="20"/>
          <w:szCs w:val="20"/>
        </w:rPr>
      </w:pPr>
      <w:r w:rsidRPr="00883068">
        <w:rPr>
          <w:rFonts w:ascii="Arial" w:eastAsia="Arial" w:hAnsi="Arial" w:cs="Arial"/>
          <w:b/>
          <w:sz w:val="20"/>
          <w:szCs w:val="20"/>
        </w:rPr>
        <w:t>ANEXO No. 2</w:t>
      </w:r>
    </w:p>
    <w:p w:rsidR="00A21A77" w:rsidRPr="00883068" w:rsidRDefault="00344F9E">
      <w:pPr>
        <w:jc w:val="center"/>
        <w:rPr>
          <w:rFonts w:ascii="Arial" w:eastAsia="Arial" w:hAnsi="Arial" w:cs="Arial"/>
          <w:b/>
          <w:sz w:val="20"/>
          <w:szCs w:val="20"/>
        </w:rPr>
      </w:pPr>
      <w:r w:rsidRPr="00883068">
        <w:rPr>
          <w:rFonts w:ascii="Arial" w:eastAsia="Arial" w:hAnsi="Arial" w:cs="Arial"/>
          <w:b/>
          <w:sz w:val="20"/>
          <w:szCs w:val="20"/>
        </w:rPr>
        <w:t>CONDICIONES TÉCNICAS COMPLEMENTARIAS (C.T.C.)</w:t>
      </w:r>
    </w:p>
    <w:p w:rsidR="008B2685" w:rsidRDefault="008B2685">
      <w:pPr>
        <w:rPr>
          <w:rFonts w:ascii="Arial" w:eastAsia="Arial" w:hAnsi="Arial" w:cs="Arial"/>
          <w:b/>
          <w:sz w:val="20"/>
          <w:szCs w:val="20"/>
        </w:rPr>
      </w:pPr>
      <w:bookmarkStart w:id="1" w:name="_gjdgxs" w:colFirst="0" w:colLast="0"/>
      <w:bookmarkEnd w:id="1"/>
    </w:p>
    <w:p w:rsidR="00A21A77" w:rsidRDefault="00344F9E">
      <w:pPr>
        <w:rPr>
          <w:rFonts w:ascii="Arial" w:eastAsia="Arial" w:hAnsi="Arial" w:cs="Arial"/>
          <w:b/>
          <w:sz w:val="20"/>
          <w:szCs w:val="20"/>
        </w:rPr>
      </w:pPr>
      <w:r w:rsidRPr="00883068">
        <w:rPr>
          <w:rFonts w:ascii="Arial" w:eastAsia="Arial" w:hAnsi="Arial" w:cs="Arial"/>
          <w:b/>
          <w:sz w:val="20"/>
          <w:szCs w:val="20"/>
        </w:rPr>
        <w:t>GRUPO I</w:t>
      </w:r>
    </w:p>
    <w:p w:rsidR="008B2685" w:rsidRPr="00883068" w:rsidRDefault="008B2685">
      <w:pPr>
        <w:rPr>
          <w:rFonts w:ascii="Arial" w:eastAsia="Arial" w:hAnsi="Arial" w:cs="Arial"/>
          <w:b/>
          <w:sz w:val="20"/>
          <w:szCs w:val="20"/>
        </w:rPr>
      </w:pPr>
    </w:p>
    <w:p w:rsidR="00A21A77" w:rsidRPr="008B2685" w:rsidRDefault="00344F9E" w:rsidP="008B2685">
      <w:pPr>
        <w:pStyle w:val="Prrafodelista"/>
        <w:numPr>
          <w:ilvl w:val="0"/>
          <w:numId w:val="5"/>
        </w:numPr>
        <w:rPr>
          <w:b/>
          <w:sz w:val="20"/>
        </w:rPr>
      </w:pPr>
      <w:r w:rsidRPr="008B2685">
        <w:rPr>
          <w:b/>
          <w:sz w:val="20"/>
        </w:rPr>
        <w:t>Póliza Todo Riesgo Daños Materiales</w:t>
      </w:r>
    </w:p>
    <w:p w:rsidR="008B2685" w:rsidRPr="008B2685" w:rsidRDefault="008B2685" w:rsidP="008B2685">
      <w:pPr>
        <w:ind w:left="360"/>
        <w:rPr>
          <w:rFonts w:eastAsia="Arial"/>
          <w:b/>
          <w:sz w:val="20"/>
        </w:rPr>
      </w:pPr>
    </w:p>
    <w:tbl>
      <w:tblPr>
        <w:tblW w:w="9493" w:type="dxa"/>
        <w:tblCellMar>
          <w:left w:w="70" w:type="dxa"/>
          <w:right w:w="70" w:type="dxa"/>
        </w:tblCellMar>
        <w:tblLook w:val="04A0" w:firstRow="1" w:lastRow="0" w:firstColumn="1" w:lastColumn="0" w:noHBand="0" w:noVBand="1"/>
      </w:tblPr>
      <w:tblGrid>
        <w:gridCol w:w="5020"/>
        <w:gridCol w:w="1200"/>
        <w:gridCol w:w="1200"/>
        <w:gridCol w:w="2073"/>
      </w:tblGrid>
      <w:tr w:rsidR="005B5B44" w:rsidRPr="005B5B44" w:rsidTr="00B30552">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Condiciones Técnicas Complementarias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2073"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Puntos asignados</w:t>
            </w:r>
          </w:p>
        </w:tc>
      </w:tr>
      <w:tr w:rsidR="005B5B44" w:rsidRPr="005B5B44" w:rsidTr="00B30552">
        <w:trPr>
          <w:trHeight w:val="160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Incremento del costo de operación: </w:t>
            </w:r>
            <w:r w:rsidRPr="005B5B44">
              <w:rPr>
                <w:rFonts w:ascii="Arial" w:hAnsi="Arial" w:cs="Arial"/>
                <w:color w:val="auto"/>
                <w:sz w:val="20"/>
                <w:szCs w:val="20"/>
              </w:rPr>
              <w:t>Quien ofrezca el mayor límite asegurado adicional al básico obligatorio de 5.000.000.000 y sin que el valor adicional ofrecido sea superior a $1.000.000.000.  El PROPONENTE que ofrezca $1.000.000.000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8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Renta para instalaciones y edificios propios y no propios.</w:t>
            </w:r>
            <w:r w:rsidRPr="005B5B44">
              <w:rPr>
                <w:rFonts w:ascii="Arial" w:hAnsi="Arial" w:cs="Arial"/>
                <w:color w:val="auto"/>
                <w:sz w:val="20"/>
                <w:szCs w:val="20"/>
              </w:rPr>
              <w:t xml:space="preserve"> Quien ofrezca el mayor límite asegurado adicional al básico obligatorio de $4.000.000.000 y sin que el valor adicional ofrecido sea superior a $1.000.000.000.  El PROPONENTE que ofrezca$1.000.000.000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8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Cláusula de adecuación de construcciones a las normas de sismo resistencia. </w:t>
            </w:r>
            <w:r w:rsidRPr="005B5B44">
              <w:rPr>
                <w:rFonts w:ascii="Arial" w:hAnsi="Arial" w:cs="Arial"/>
                <w:color w:val="auto"/>
                <w:sz w:val="20"/>
                <w:szCs w:val="20"/>
              </w:rPr>
              <w:t>Quien ofrezca el mayor porcentaje adicional al básico obligatorio del 20% y sin que el porcentaje adicional ofrecido sea superior al 25%. El PROPONENTE que ofrezca 25% obtendrá el mayor puntaje, los demás de forma proporcional.</w:t>
            </w:r>
            <w:r w:rsidRPr="005B5B44">
              <w:rPr>
                <w:rFonts w:ascii="Arial" w:hAnsi="Arial" w:cs="Arial"/>
                <w:b/>
                <w:bCs/>
                <w:color w:val="auto"/>
                <w:sz w:val="20"/>
                <w:szCs w:val="20"/>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66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Montajes y construcciones. </w:t>
            </w:r>
            <w:r w:rsidRPr="005B5B44">
              <w:rPr>
                <w:rFonts w:ascii="Arial" w:hAnsi="Arial" w:cs="Arial"/>
                <w:color w:val="auto"/>
                <w:sz w:val="20"/>
                <w:szCs w:val="20"/>
              </w:rPr>
              <w:t>Quien ofrezca el mayor límite asegurado adicional al básico obligatorio de $6.000.000.000 y sin que el valor adicional ofrecido sea superior a $1.000.000.000. El PROPONENTE que ofrezca $1.000.000.000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8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Límite agregado de indemnización para Terremoto, HMACC, AMIT y Sabotaje. </w:t>
            </w:r>
            <w:r w:rsidRPr="005B5B44">
              <w:rPr>
                <w:rFonts w:ascii="Arial" w:hAnsi="Arial" w:cs="Arial"/>
                <w:color w:val="auto"/>
                <w:sz w:val="20"/>
                <w:szCs w:val="20"/>
              </w:rPr>
              <w:t>Quien ofrezca el mayor límite asegurado adicional al básico obligatorio de</w:t>
            </w:r>
            <w:r w:rsidR="00BE0CAB">
              <w:rPr>
                <w:rFonts w:ascii="Arial" w:hAnsi="Arial" w:cs="Arial"/>
                <w:color w:val="auto"/>
                <w:sz w:val="20"/>
                <w:szCs w:val="20"/>
              </w:rPr>
              <w:t xml:space="preserve"> $6</w:t>
            </w:r>
            <w:r w:rsidRPr="005B5B44">
              <w:rPr>
                <w:rFonts w:ascii="Arial" w:hAnsi="Arial" w:cs="Arial"/>
                <w:color w:val="auto"/>
                <w:sz w:val="20"/>
                <w:szCs w:val="20"/>
              </w:rPr>
              <w:t>00.000.000 y sin que el valor adic</w:t>
            </w:r>
            <w:r w:rsidR="00BE0CAB">
              <w:rPr>
                <w:rFonts w:ascii="Arial" w:hAnsi="Arial" w:cs="Arial"/>
                <w:color w:val="auto"/>
                <w:sz w:val="20"/>
                <w:szCs w:val="20"/>
              </w:rPr>
              <w:t>ional ofrecido sea superior a $4</w:t>
            </w:r>
            <w:r w:rsidRPr="005B5B44">
              <w:rPr>
                <w:rFonts w:ascii="Arial" w:hAnsi="Arial" w:cs="Arial"/>
                <w:color w:val="auto"/>
                <w:sz w:val="20"/>
                <w:szCs w:val="20"/>
              </w:rPr>
              <w:t>00.000.0</w:t>
            </w:r>
            <w:r w:rsidR="00BE0CAB">
              <w:rPr>
                <w:rFonts w:ascii="Arial" w:hAnsi="Arial" w:cs="Arial"/>
                <w:color w:val="auto"/>
                <w:sz w:val="20"/>
                <w:szCs w:val="20"/>
              </w:rPr>
              <w:t>00. El PROPONENTE que ofrezca $4</w:t>
            </w:r>
            <w:r w:rsidRPr="005B5B44">
              <w:rPr>
                <w:rFonts w:ascii="Arial" w:hAnsi="Arial" w:cs="Arial"/>
                <w:color w:val="auto"/>
                <w:sz w:val="20"/>
                <w:szCs w:val="20"/>
              </w:rPr>
              <w:t>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5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lastRenderedPageBreak/>
              <w:t>Gastos de limpieza por derrames y contaminación:</w:t>
            </w:r>
            <w:r w:rsidRPr="005B5B44">
              <w:rPr>
                <w:rFonts w:ascii="Arial" w:hAnsi="Arial" w:cs="Arial"/>
                <w:color w:val="auto"/>
                <w:sz w:val="20"/>
                <w:szCs w:val="20"/>
              </w:rPr>
              <w:t xml:space="preserve"> quien ofrezca cobertura para los gastos incurridos por la Universidad derivados de los derrames de líquidos o cualquier tipo de sustancias generen o no contaminación, al 100% del límite obtendrá el mayor puntaje, los demás de forma proporcional.</w:t>
            </w:r>
            <w:r w:rsidRPr="005B5B44">
              <w:rPr>
                <w:rFonts w:ascii="Arial" w:hAnsi="Arial" w:cs="Arial"/>
                <w:b/>
                <w:bCs/>
                <w:color w:val="auto"/>
                <w:sz w:val="20"/>
                <w:szCs w:val="20"/>
              </w:rPr>
              <w:t xml:space="preserve">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r w:rsidRPr="005B5B44">
              <w:rPr>
                <w:rFonts w:ascii="Calibri" w:hAnsi="Calibri" w:cs="Calibri"/>
                <w:sz w:val="22"/>
                <w:szCs w:val="22"/>
              </w:rPr>
              <w:t> </w:t>
            </w:r>
          </w:p>
        </w:tc>
      </w:tr>
      <w:tr w:rsidR="005B5B44" w:rsidRPr="005B5B44" w:rsidTr="00B30552">
        <w:trPr>
          <w:trHeight w:val="105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Cobertura para Drones y equipos de manejo remoto: </w:t>
            </w:r>
            <w:r w:rsidRPr="005B5B44">
              <w:rPr>
                <w:rFonts w:ascii="Arial" w:hAnsi="Arial" w:cs="Arial"/>
                <w:color w:val="auto"/>
                <w:sz w:val="20"/>
                <w:szCs w:val="20"/>
              </w:rPr>
              <w:t xml:space="preserve">Quien ofrezca límite asegurado de cobertura por </w:t>
            </w:r>
            <w:r w:rsidRPr="005B5B44">
              <w:rPr>
                <w:rFonts w:ascii="Arial" w:hAnsi="Arial" w:cs="Arial"/>
                <w:b/>
                <w:bCs/>
                <w:color w:val="auto"/>
                <w:sz w:val="20"/>
                <w:szCs w:val="20"/>
              </w:rPr>
              <w:t>el 100%</w:t>
            </w:r>
            <w:r w:rsidRPr="005B5B44">
              <w:rPr>
                <w:rFonts w:ascii="Arial" w:hAnsi="Arial" w:cs="Arial"/>
                <w:color w:val="auto"/>
                <w:sz w:val="20"/>
                <w:szCs w:val="20"/>
              </w:rPr>
              <w:t xml:space="preserve"> obtendrá el mayor puntaje, los demás de forma proporcional.</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0000FF"/>
                <w:sz w:val="20"/>
                <w:szCs w:val="20"/>
              </w:rPr>
            </w:pPr>
            <w:r w:rsidRPr="005B5B44">
              <w:rPr>
                <w:rFonts w:ascii="Arial" w:hAnsi="Arial" w:cs="Arial"/>
                <w:color w:val="0000FF"/>
                <w:sz w:val="20"/>
                <w:szCs w:val="20"/>
              </w:rPr>
              <w:t> </w:t>
            </w:r>
          </w:p>
        </w:tc>
      </w:tr>
      <w:tr w:rsidR="005B5B44" w:rsidRPr="005B5B44" w:rsidTr="00B30552">
        <w:trPr>
          <w:trHeight w:val="315"/>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bl>
    <w:p w:rsidR="00344F9E" w:rsidRPr="00F423B6" w:rsidRDefault="00344F9E" w:rsidP="00503166">
      <w:pPr>
        <w:tabs>
          <w:tab w:val="left" w:pos="-720"/>
          <w:tab w:val="left" w:pos="4820"/>
        </w:tabs>
        <w:jc w:val="both"/>
        <w:rPr>
          <w:rFonts w:ascii="Arial" w:eastAsia="Arial" w:hAnsi="Arial" w:cs="Arial"/>
          <w:b/>
          <w:color w:val="0000FF"/>
          <w:sz w:val="20"/>
          <w:szCs w:val="20"/>
        </w:rPr>
      </w:pPr>
    </w:p>
    <w:p w:rsidR="00A21A77" w:rsidRDefault="00344F9E" w:rsidP="00503166">
      <w:pPr>
        <w:pStyle w:val="Ttulo4"/>
        <w:spacing w:before="0" w:after="0"/>
        <w:rPr>
          <w:rFonts w:ascii="Arial" w:eastAsia="Arial" w:hAnsi="Arial" w:cs="Arial"/>
          <w:sz w:val="20"/>
          <w:szCs w:val="20"/>
        </w:rPr>
      </w:pPr>
      <w:r w:rsidRPr="00883068">
        <w:rPr>
          <w:rFonts w:ascii="Arial" w:eastAsia="Arial" w:hAnsi="Arial" w:cs="Arial"/>
          <w:sz w:val="20"/>
          <w:szCs w:val="20"/>
        </w:rPr>
        <w:t xml:space="preserve">1.2 Póliza Colectiva de Seguros de Automóviles </w:t>
      </w:r>
    </w:p>
    <w:p w:rsidR="00912048" w:rsidRDefault="00912048" w:rsidP="00503166">
      <w:pPr>
        <w:rPr>
          <w:rFonts w:eastAsia="Arial"/>
        </w:rPr>
      </w:pPr>
    </w:p>
    <w:tbl>
      <w:tblPr>
        <w:tblW w:w="9433" w:type="dxa"/>
        <w:tblInd w:w="55" w:type="dxa"/>
        <w:tblLayout w:type="fixed"/>
        <w:tblCellMar>
          <w:left w:w="70" w:type="dxa"/>
          <w:right w:w="70" w:type="dxa"/>
        </w:tblCellMar>
        <w:tblLook w:val="04A0" w:firstRow="1" w:lastRow="0" w:firstColumn="1" w:lastColumn="0" w:noHBand="0" w:noVBand="1"/>
      </w:tblPr>
      <w:tblGrid>
        <w:gridCol w:w="6172"/>
        <w:gridCol w:w="851"/>
        <w:gridCol w:w="992"/>
        <w:gridCol w:w="1418"/>
      </w:tblGrid>
      <w:tr w:rsidR="005B5B44" w:rsidRPr="00912048" w:rsidTr="00B30552">
        <w:trPr>
          <w:trHeight w:val="727"/>
        </w:trPr>
        <w:tc>
          <w:tcPr>
            <w:tcW w:w="6172" w:type="dxa"/>
            <w:tcBorders>
              <w:top w:val="single" w:sz="8" w:space="0" w:color="000000"/>
              <w:left w:val="single" w:sz="8" w:space="0" w:color="000000"/>
              <w:bottom w:val="single" w:sz="4" w:space="0" w:color="auto"/>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lang w:val="es-ES" w:eastAsia="es-ES"/>
              </w:rPr>
            </w:pPr>
            <w:r w:rsidRPr="008B2685">
              <w:rPr>
                <w:rFonts w:ascii="Arial" w:eastAsia="Arial" w:hAnsi="Arial" w:cs="Arial"/>
                <w:b/>
                <w:bCs/>
                <w:color w:val="auto"/>
                <w:sz w:val="20"/>
                <w:szCs w:val="20"/>
                <w:lang w:eastAsia="es-ES"/>
              </w:rPr>
              <w:t xml:space="preserve">Condiciones Técnicas Complementarias </w:t>
            </w:r>
          </w:p>
        </w:tc>
        <w:tc>
          <w:tcPr>
            <w:tcW w:w="851" w:type="dxa"/>
            <w:tcBorders>
              <w:top w:val="single" w:sz="8" w:space="0" w:color="000000"/>
              <w:left w:val="nil"/>
              <w:bottom w:val="single" w:sz="4" w:space="0" w:color="auto"/>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lang w:val="es-ES" w:eastAsia="es-ES"/>
              </w:rPr>
            </w:pPr>
            <w:r w:rsidRPr="008B2685">
              <w:rPr>
                <w:rFonts w:ascii="Arial" w:eastAsia="Arial" w:hAnsi="Arial" w:cs="Arial"/>
                <w:b/>
                <w:bCs/>
                <w:color w:val="auto"/>
                <w:sz w:val="20"/>
                <w:szCs w:val="20"/>
                <w:lang w:eastAsia="es-ES"/>
              </w:rPr>
              <w:t>300 puntos</w:t>
            </w:r>
          </w:p>
        </w:tc>
        <w:tc>
          <w:tcPr>
            <w:tcW w:w="992" w:type="dxa"/>
            <w:tcBorders>
              <w:top w:val="single" w:sz="8" w:space="0" w:color="000000"/>
              <w:left w:val="nil"/>
              <w:bottom w:val="single" w:sz="4" w:space="0" w:color="auto"/>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lang w:val="es-ES" w:eastAsia="es-ES"/>
              </w:rPr>
            </w:pPr>
            <w:r w:rsidRPr="008B2685">
              <w:rPr>
                <w:rFonts w:ascii="Arial" w:eastAsia="Arial" w:hAnsi="Arial" w:cs="Arial"/>
                <w:b/>
                <w:bCs/>
                <w:color w:val="auto"/>
                <w:sz w:val="20"/>
                <w:szCs w:val="20"/>
                <w:lang w:eastAsia="es-ES"/>
              </w:rPr>
              <w:t>Se le asignan puntos (SI/NO)</w:t>
            </w:r>
          </w:p>
        </w:tc>
        <w:tc>
          <w:tcPr>
            <w:tcW w:w="1418" w:type="dxa"/>
            <w:tcBorders>
              <w:top w:val="single" w:sz="8" w:space="0" w:color="000000"/>
              <w:left w:val="nil"/>
              <w:bottom w:val="single" w:sz="4" w:space="0" w:color="auto"/>
              <w:right w:val="single" w:sz="8" w:space="0" w:color="000000"/>
            </w:tcBorders>
            <w:shd w:val="clear" w:color="000000" w:fill="D9D9D9"/>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lang w:val="es-ES" w:eastAsia="es-ES"/>
              </w:rPr>
            </w:pPr>
            <w:r w:rsidRPr="00912048">
              <w:rPr>
                <w:rFonts w:ascii="Arial" w:eastAsia="Arial" w:hAnsi="Arial" w:cs="Arial"/>
                <w:b/>
                <w:bCs/>
                <w:sz w:val="20"/>
                <w:szCs w:val="20"/>
                <w:lang w:eastAsia="es-ES"/>
              </w:rPr>
              <w:t xml:space="preserve"> Puntos asignados </w:t>
            </w:r>
          </w:p>
        </w:tc>
      </w:tr>
      <w:tr w:rsidR="005B5B44" w:rsidRPr="00912048" w:rsidTr="00B30552">
        <w:trPr>
          <w:trHeight w:val="127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b/>
                <w:bCs/>
                <w:color w:val="auto"/>
                <w:sz w:val="20"/>
                <w:szCs w:val="20"/>
                <w:lang w:eastAsia="es-ES"/>
              </w:rPr>
              <w:t>Incremento del límite básico para la cobertura de Responsabilidad Civil Extracontractual, SIN COBRO ADICIONAL DE PRIMA. (Para  todo el parque automotor).</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Límite de $1.700.000.000 / $1.700.000.000 / $3.400.000.000, se le asignarán  </w:t>
            </w:r>
            <w:r w:rsidRPr="00503166">
              <w:rPr>
                <w:rFonts w:ascii="Arial" w:eastAsia="Arial" w:hAnsi="Arial" w:cs="Arial"/>
                <w:b/>
                <w:color w:val="auto"/>
                <w:sz w:val="20"/>
                <w:szCs w:val="20"/>
                <w:lang w:eastAsia="es-ES"/>
              </w:rPr>
              <w:t>50</w:t>
            </w:r>
            <w:r w:rsidRPr="008B2685">
              <w:rPr>
                <w:rFonts w:ascii="Arial" w:eastAsia="Arial" w:hAnsi="Arial" w:cs="Arial"/>
                <w:b/>
                <w:bCs/>
                <w:color w:val="auto"/>
                <w:sz w:val="20"/>
                <w:szCs w:val="20"/>
                <w:lang w:eastAsia="es-ES"/>
              </w:rPr>
              <w:t xml:space="preserve">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Límite de $1.800.000.000 / $1.800.000.000 / $3.600.000.000, se le asignarán </w:t>
            </w:r>
            <w:r>
              <w:rPr>
                <w:rFonts w:ascii="Arial" w:eastAsia="Arial" w:hAnsi="Arial" w:cs="Arial"/>
                <w:color w:val="auto"/>
                <w:sz w:val="20"/>
                <w:szCs w:val="20"/>
                <w:lang w:eastAsia="es-ES"/>
              </w:rPr>
              <w:t xml:space="preserve"> </w:t>
            </w:r>
            <w:r w:rsidRPr="00503166">
              <w:rPr>
                <w:rFonts w:ascii="Arial" w:eastAsia="Arial" w:hAnsi="Arial" w:cs="Arial"/>
                <w:b/>
                <w:color w:val="auto"/>
                <w:sz w:val="20"/>
                <w:szCs w:val="20"/>
                <w:lang w:eastAsia="es-ES"/>
              </w:rPr>
              <w:t>90</w:t>
            </w:r>
            <w:r w:rsidRPr="00503166">
              <w:rPr>
                <w:rFonts w:ascii="Arial" w:eastAsia="Arial" w:hAnsi="Arial" w:cs="Arial"/>
                <w:b/>
                <w:bCs/>
                <w:color w:val="auto"/>
                <w:sz w:val="20"/>
                <w:szCs w:val="20"/>
                <w:lang w:eastAsia="es-ES"/>
              </w:rPr>
              <w:t xml:space="preserve"> </w:t>
            </w:r>
            <w:r w:rsidRPr="008B2685">
              <w:rPr>
                <w:rFonts w:ascii="Arial" w:eastAsia="Arial" w:hAnsi="Arial" w:cs="Arial"/>
                <w:b/>
                <w:bCs/>
                <w:color w:val="auto"/>
                <w:sz w:val="20"/>
                <w:szCs w:val="20"/>
                <w:lang w:eastAsia="es-ES"/>
              </w:rPr>
              <w:t>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Límite de $1.900.000.000 / $1.900.000.000 / $3.800.000.000, se le asignarán </w:t>
            </w:r>
            <w:r w:rsidRPr="00503166">
              <w:rPr>
                <w:rFonts w:ascii="Arial" w:eastAsia="Arial" w:hAnsi="Arial" w:cs="Arial"/>
                <w:b/>
                <w:color w:val="auto"/>
                <w:sz w:val="20"/>
                <w:szCs w:val="20"/>
                <w:lang w:eastAsia="es-ES"/>
              </w:rPr>
              <w:t>1</w:t>
            </w:r>
            <w:r>
              <w:rPr>
                <w:rFonts w:ascii="Arial" w:eastAsia="Arial" w:hAnsi="Arial" w:cs="Arial"/>
                <w:b/>
                <w:color w:val="auto"/>
                <w:sz w:val="20"/>
                <w:szCs w:val="20"/>
                <w:lang w:eastAsia="es-ES"/>
              </w:rPr>
              <w:t>2</w:t>
            </w:r>
            <w:r w:rsidRPr="00503166">
              <w:rPr>
                <w:rFonts w:ascii="Arial" w:eastAsia="Arial" w:hAnsi="Arial" w:cs="Arial"/>
                <w:b/>
                <w:color w:val="auto"/>
                <w:sz w:val="20"/>
                <w:szCs w:val="20"/>
                <w:lang w:eastAsia="es-ES"/>
              </w:rPr>
              <w:t>0</w:t>
            </w:r>
            <w:r w:rsidRPr="008B2685">
              <w:rPr>
                <w:rFonts w:ascii="Arial" w:eastAsia="Arial" w:hAnsi="Arial" w:cs="Arial"/>
                <w:b/>
                <w:bCs/>
                <w:color w:val="auto"/>
                <w:sz w:val="20"/>
                <w:szCs w:val="20"/>
                <w:lang w:eastAsia="es-ES"/>
              </w:rPr>
              <w:t xml:space="preserve">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eastAsia="Arial" w:hAnsi="Arial" w:cs="Arial"/>
                <w:color w:val="auto"/>
                <w:sz w:val="20"/>
                <w:szCs w:val="20"/>
                <w:lang w:eastAsia="es-ES"/>
              </w:rPr>
              <w:t xml:space="preserve">límite de $2.000.000.000 / $2.000.000.000 / $4.000.000.000, se le asignarán </w:t>
            </w:r>
            <w:r w:rsidRPr="00503166">
              <w:rPr>
                <w:rFonts w:ascii="Arial" w:eastAsia="Arial" w:hAnsi="Arial" w:cs="Arial"/>
                <w:b/>
                <w:color w:val="auto"/>
                <w:sz w:val="20"/>
                <w:szCs w:val="20"/>
                <w:lang w:eastAsia="es-ES"/>
              </w:rPr>
              <w:t>150</w:t>
            </w:r>
            <w:r w:rsidRPr="008B2685">
              <w:rPr>
                <w:rFonts w:ascii="Arial" w:eastAsia="Arial" w:hAnsi="Arial" w:cs="Arial"/>
                <w:b/>
                <w:bCs/>
                <w:color w:val="auto"/>
                <w:sz w:val="20"/>
                <w:szCs w:val="20"/>
                <w:lang w:eastAsia="es-ES"/>
              </w:rPr>
              <w:t xml:space="preserve"> puntos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150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s-ES" w:eastAsia="es-ES"/>
              </w:rPr>
            </w:pPr>
            <w:r w:rsidRPr="00912048">
              <w:rPr>
                <w:rFonts w:ascii="Arial" w:hAnsi="Arial" w:cs="Arial"/>
                <w:sz w:val="20"/>
                <w:szCs w:val="20"/>
                <w:lang w:val="es-ES" w:eastAsia="es-ES"/>
              </w:rPr>
              <w:t> </w:t>
            </w:r>
          </w:p>
        </w:tc>
      </w:tr>
      <w:tr w:rsidR="005B5B44" w:rsidRPr="00912048" w:rsidTr="00B30552">
        <w:trPr>
          <w:trHeight w:val="154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lang w:val="es-ES" w:eastAsia="es-ES"/>
              </w:rPr>
            </w:pPr>
            <w:r w:rsidRPr="008B2685">
              <w:rPr>
                <w:rFonts w:ascii="Arial" w:eastAsia="Arial" w:hAnsi="Arial" w:cs="Arial"/>
                <w:color w:val="auto"/>
                <w:sz w:val="20"/>
                <w:szCs w:val="20"/>
                <w:lang w:eastAsia="es-ES"/>
              </w:rPr>
              <w:t xml:space="preserve">El proponente DEBE presentar oferta bajo el esquema de los rangos y límites antes indicados, por lo tanto en caso de presentar oferta bajo otras condiciones (Rangos o montos de límites diferentes), la propuesta no será objeto de asignación de puntaje </w:t>
            </w:r>
          </w:p>
        </w:tc>
        <w:tc>
          <w:tcPr>
            <w:tcW w:w="851" w:type="dxa"/>
            <w:vMerge/>
            <w:tcBorders>
              <w:top w:val="single" w:sz="4" w:space="0" w:color="auto"/>
              <w:left w:val="single" w:sz="4" w:space="0" w:color="auto"/>
              <w:bottom w:val="single" w:sz="4" w:space="0" w:color="auto"/>
              <w:right w:val="single" w:sz="4" w:space="0" w:color="auto"/>
            </w:tcBorders>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020"/>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color w:val="auto"/>
                <w:sz w:val="20"/>
                <w:szCs w:val="20"/>
                <w:lang w:eastAsia="es-ES"/>
              </w:rPr>
            </w:pPr>
            <w:r w:rsidRPr="008B2685">
              <w:rPr>
                <w:rFonts w:ascii="Arial" w:eastAsia="Arial" w:hAnsi="Arial" w:cs="Arial"/>
                <w:b/>
                <w:bCs/>
                <w:color w:val="auto"/>
                <w:sz w:val="20"/>
                <w:szCs w:val="20"/>
                <w:lang w:eastAsia="es-ES"/>
              </w:rPr>
              <w:t>Límite adicional al básico para la cobertura de Responsabilidad Civil Extracontractual, SIN COBRO ADICIONAL DE PRIMA</w:t>
            </w:r>
            <w:r w:rsidRPr="008B2685">
              <w:rPr>
                <w:rFonts w:ascii="Arial" w:eastAsia="Arial" w:hAnsi="Arial" w:cs="Arial"/>
                <w:color w:val="auto"/>
                <w:sz w:val="20"/>
                <w:szCs w:val="20"/>
                <w:lang w:eastAsia="es-ES"/>
              </w:rPr>
              <w:t>. (Para  todo el parque automotor).</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Al proponente que ofrezca un límite de RCE en exceso para cada vehículo con un valor de $100.000.000, </w:t>
            </w:r>
            <w:r w:rsidRPr="008B2685">
              <w:rPr>
                <w:rFonts w:ascii="Arial" w:eastAsia="Arial" w:hAnsi="Arial" w:cs="Arial"/>
                <w:b/>
                <w:bCs/>
                <w:color w:val="auto"/>
                <w:sz w:val="20"/>
                <w:szCs w:val="20"/>
                <w:lang w:eastAsia="es-ES"/>
              </w:rPr>
              <w:t xml:space="preserve">se le asignarán </w:t>
            </w:r>
            <w:r>
              <w:rPr>
                <w:rFonts w:ascii="Arial" w:eastAsia="Arial" w:hAnsi="Arial" w:cs="Arial"/>
                <w:b/>
                <w:bCs/>
                <w:color w:val="auto"/>
                <w:sz w:val="20"/>
                <w:szCs w:val="20"/>
                <w:lang w:eastAsia="es-ES"/>
              </w:rPr>
              <w:t>1</w:t>
            </w:r>
            <w:r w:rsidRPr="008B2685">
              <w:rPr>
                <w:rFonts w:ascii="Arial" w:eastAsia="Arial" w:hAnsi="Arial" w:cs="Arial"/>
                <w:b/>
                <w:bCs/>
                <w:color w:val="auto"/>
                <w:sz w:val="20"/>
                <w:szCs w:val="20"/>
                <w:lang w:eastAsia="es-ES"/>
              </w:rPr>
              <w:t>0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Al proponente que ofrezca un límite de RCE en exceso para cada vehículo con un valor de $300.000.000, </w:t>
            </w:r>
            <w:r w:rsidRPr="008B2685">
              <w:rPr>
                <w:rFonts w:ascii="Arial" w:eastAsia="Arial" w:hAnsi="Arial" w:cs="Arial"/>
                <w:b/>
                <w:bCs/>
                <w:color w:val="auto"/>
                <w:sz w:val="20"/>
                <w:szCs w:val="20"/>
                <w:lang w:eastAsia="es-ES"/>
              </w:rPr>
              <w:t xml:space="preserve">se le asignarán </w:t>
            </w:r>
            <w:r>
              <w:rPr>
                <w:rFonts w:ascii="Arial" w:eastAsia="Arial" w:hAnsi="Arial" w:cs="Arial"/>
                <w:b/>
                <w:bCs/>
                <w:color w:val="auto"/>
                <w:sz w:val="20"/>
                <w:szCs w:val="20"/>
                <w:lang w:eastAsia="es-ES"/>
              </w:rPr>
              <w:t>2</w:t>
            </w:r>
            <w:r w:rsidRPr="008B2685">
              <w:rPr>
                <w:rFonts w:ascii="Arial" w:eastAsia="Arial" w:hAnsi="Arial" w:cs="Arial"/>
                <w:b/>
                <w:bCs/>
                <w:color w:val="auto"/>
                <w:sz w:val="20"/>
                <w:szCs w:val="20"/>
                <w:lang w:eastAsia="es-ES"/>
              </w:rPr>
              <w:t>0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eastAsia="Arial" w:hAnsi="Arial" w:cs="Arial"/>
                <w:color w:val="auto"/>
                <w:sz w:val="20"/>
                <w:szCs w:val="20"/>
                <w:lang w:eastAsia="es-ES"/>
              </w:rPr>
              <w:t xml:space="preserve">Al proponente que ofrezca un límite de RCE en exceso para cada vehículo con un valor de $500.000.000, </w:t>
            </w:r>
            <w:r w:rsidRPr="008B2685">
              <w:rPr>
                <w:rFonts w:ascii="Arial" w:eastAsia="Arial" w:hAnsi="Arial" w:cs="Arial"/>
                <w:b/>
                <w:bCs/>
                <w:color w:val="auto"/>
                <w:sz w:val="20"/>
                <w:szCs w:val="20"/>
                <w:lang w:eastAsia="es-ES"/>
              </w:rPr>
              <w:t xml:space="preserve">se le asignarán </w:t>
            </w:r>
            <w:r>
              <w:rPr>
                <w:rFonts w:ascii="Arial" w:eastAsia="Arial" w:hAnsi="Arial" w:cs="Arial"/>
                <w:b/>
                <w:bCs/>
                <w:color w:val="auto"/>
                <w:sz w:val="20"/>
                <w:szCs w:val="20"/>
                <w:lang w:eastAsia="es-ES"/>
              </w:rPr>
              <w:t>30</w:t>
            </w:r>
            <w:r w:rsidRPr="008B2685">
              <w:rPr>
                <w:rFonts w:ascii="Arial" w:eastAsia="Arial" w:hAnsi="Arial" w:cs="Arial"/>
                <w:b/>
                <w:bCs/>
                <w:color w:val="auto"/>
                <w:sz w:val="20"/>
                <w:szCs w:val="20"/>
                <w:lang w:eastAsia="es-ES"/>
              </w:rPr>
              <w:t xml:space="preserve"> puntos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s-ES" w:eastAsia="es-ES"/>
              </w:rPr>
            </w:pPr>
            <w:r w:rsidRPr="00912048">
              <w:rPr>
                <w:rFonts w:ascii="Arial" w:hAnsi="Arial" w:cs="Arial"/>
                <w:sz w:val="20"/>
                <w:szCs w:val="20"/>
                <w:lang w:val="es-ES" w:eastAsia="es-ES"/>
              </w:rPr>
              <w:t> </w:t>
            </w:r>
          </w:p>
        </w:tc>
      </w:tr>
      <w:tr w:rsidR="005B5B44" w:rsidRPr="00912048" w:rsidTr="00B30552">
        <w:trPr>
          <w:trHeight w:val="1238"/>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lastRenderedPageBreak/>
              <w:t>Amparo automático de vehículos omitidos en la relación inicial,</w:t>
            </w:r>
            <w:r w:rsidRPr="008B2685">
              <w:rPr>
                <w:rFonts w:ascii="Arial" w:hAnsi="Arial" w:cs="Arial"/>
                <w:color w:val="auto"/>
                <w:sz w:val="20"/>
                <w:szCs w:val="20"/>
                <w:lang w:eastAsia="es-ES"/>
              </w:rPr>
              <w:t xml:space="preserve"> </w:t>
            </w:r>
            <w:r w:rsidRPr="008B2685">
              <w:rPr>
                <w:rFonts w:ascii="Arial" w:hAnsi="Arial" w:cs="Arial"/>
                <w:b/>
                <w:bCs/>
                <w:color w:val="auto"/>
                <w:sz w:val="20"/>
                <w:szCs w:val="20"/>
                <w:lang w:eastAsia="es-ES"/>
              </w:rPr>
              <w:t xml:space="preserve"> con el respectivo cobro de la prima real. </w:t>
            </w:r>
            <w:r w:rsidRPr="008B2685">
              <w:rPr>
                <w:rFonts w:ascii="Arial" w:hAnsi="Arial" w:cs="Arial"/>
                <w:color w:val="auto"/>
                <w:sz w:val="20"/>
                <w:szCs w:val="20"/>
                <w:lang w:eastAsia="es-ES"/>
              </w:rPr>
              <w:t xml:space="preserve"> Quien ofrezca el mayor número de días al básico obligatorio de 120 y sin que el número de días adicional ofrecido sea superior a 30 obtendrá el mayor puntaje, los demás de forma proporcional.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r w:rsidRPr="008B2685">
              <w:rPr>
                <w:rFonts w:ascii="Arial" w:hAnsi="Arial" w:cs="Arial"/>
                <w:color w:val="auto"/>
                <w:sz w:val="20"/>
                <w:szCs w:val="20"/>
                <w:lang w:val="es-ES" w:eastAsia="es-ES"/>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r w:rsidRPr="00912048">
              <w:rPr>
                <w:rFonts w:ascii="Arial" w:hAnsi="Arial" w:cs="Arial"/>
                <w:sz w:val="20"/>
                <w:szCs w:val="20"/>
                <w:lang w:val="es-ES" w:eastAsia="es-ES"/>
              </w:rPr>
              <w:t> </w:t>
            </w:r>
          </w:p>
        </w:tc>
      </w:tr>
      <w:tr w:rsidR="005B5B44" w:rsidRPr="00912048" w:rsidTr="00B30552">
        <w:trPr>
          <w:trHeight w:val="13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val="es-ES" w:eastAsia="es-ES"/>
              </w:rPr>
              <w:t xml:space="preserve">Vehículo de reemplazo: </w:t>
            </w:r>
            <w:r w:rsidRPr="008B2685">
              <w:rPr>
                <w:rFonts w:ascii="Arial" w:hAnsi="Arial" w:cs="Arial"/>
                <w:bCs/>
                <w:color w:val="auto"/>
                <w:sz w:val="20"/>
                <w:szCs w:val="20"/>
                <w:lang w:val="es-ES" w:eastAsia="es-ES"/>
              </w:rPr>
              <w:t xml:space="preserve">Quien ofrezca cobertura para de vehículo de reemplazo en las mismas condiciones del vehículo asegurado obtendrá el mayor puntaje, los demás de forma proporcional. Sugerimos para evaluar esta cobertura, remitirse al listado de vehículos de la Universidad para revisar los modelos.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3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_tradnl" w:eastAsia="es-ES"/>
              </w:rPr>
            </w:pPr>
            <w:r w:rsidRPr="008B2685">
              <w:rPr>
                <w:rFonts w:ascii="Arial" w:hAnsi="Arial" w:cs="Arial"/>
                <w:b/>
                <w:bCs/>
                <w:color w:val="auto"/>
                <w:sz w:val="20"/>
                <w:szCs w:val="20"/>
                <w:lang w:eastAsia="es-ES"/>
              </w:rPr>
              <w:t xml:space="preserve">Servicio de Grúa: </w:t>
            </w:r>
            <w:r w:rsidRPr="008B2685">
              <w:rPr>
                <w:rFonts w:ascii="Arial" w:hAnsi="Arial" w:cs="Arial"/>
                <w:bCs/>
                <w:color w:val="auto"/>
                <w:sz w:val="20"/>
                <w:szCs w:val="20"/>
                <w:lang w:val="es-ES" w:eastAsia="es-ES"/>
              </w:rPr>
              <w:t xml:space="preserve">Quien ofrezca cobertura para la prestación del </w:t>
            </w:r>
            <w:r w:rsidRPr="008B2685">
              <w:rPr>
                <w:rFonts w:ascii="Arial" w:hAnsi="Arial" w:cs="Arial"/>
                <w:bCs/>
                <w:color w:val="auto"/>
                <w:sz w:val="20"/>
                <w:szCs w:val="20"/>
                <w:lang w:eastAsia="es-ES"/>
              </w:rPr>
              <w:t xml:space="preserve">servicio de grúa </w:t>
            </w:r>
            <w:r w:rsidRPr="008B2685">
              <w:rPr>
                <w:rFonts w:ascii="Arial" w:hAnsi="Arial" w:cs="Arial"/>
                <w:bCs/>
                <w:color w:val="auto"/>
                <w:sz w:val="20"/>
                <w:szCs w:val="20"/>
                <w:lang w:val="es-ES_tradnl" w:eastAsia="es-ES"/>
              </w:rPr>
              <w:t xml:space="preserve">así no se haya ocasionado un accidente que afecte la póliza, por ejemplo, traslados, servicio a los buses, etc. Se otorga el mayor puntaje a quien lo ofrezca o a la aseguradora que ofrezca el mayor número de servicios al año cuando no es por causa de un siniestro, </w:t>
            </w:r>
            <w:r w:rsidRPr="008B2685">
              <w:rPr>
                <w:rFonts w:ascii="Arial" w:hAnsi="Arial" w:cs="Arial"/>
                <w:bCs/>
                <w:color w:val="auto"/>
                <w:sz w:val="20"/>
                <w:szCs w:val="20"/>
                <w:lang w:val="es-ES" w:eastAsia="es-ES"/>
              </w:rPr>
              <w:t>los demás de forma proporcional.</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3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t xml:space="preserve">Carro taller: </w:t>
            </w:r>
            <w:r w:rsidRPr="008B2685">
              <w:rPr>
                <w:rFonts w:ascii="Arial" w:hAnsi="Arial" w:cs="Arial"/>
                <w:bCs/>
                <w:color w:val="auto"/>
                <w:sz w:val="20"/>
                <w:szCs w:val="20"/>
                <w:lang w:val="es-ES" w:eastAsia="es-ES"/>
              </w:rPr>
              <w:t xml:space="preserve">Quien ofrezca cobertura para la prestación del </w:t>
            </w:r>
            <w:r w:rsidRPr="008B2685">
              <w:rPr>
                <w:rFonts w:ascii="Arial" w:hAnsi="Arial" w:cs="Arial"/>
                <w:bCs/>
                <w:color w:val="auto"/>
                <w:sz w:val="20"/>
                <w:szCs w:val="20"/>
                <w:lang w:eastAsia="es-ES"/>
              </w:rPr>
              <w:t xml:space="preserve">servicio de </w:t>
            </w:r>
            <w:r w:rsidRPr="008B2685">
              <w:rPr>
                <w:rFonts w:ascii="Arial" w:hAnsi="Arial" w:cs="Arial"/>
                <w:bCs/>
                <w:color w:val="auto"/>
                <w:sz w:val="20"/>
                <w:szCs w:val="20"/>
                <w:lang w:val="es-ES" w:eastAsia="es-ES"/>
              </w:rPr>
              <w:t xml:space="preserve">carro taller para los casos en los que se requiera cambio de llanta de los buses o vehículos pesados. </w:t>
            </w:r>
            <w:r w:rsidRPr="008B2685">
              <w:rPr>
                <w:rFonts w:ascii="Arial" w:hAnsi="Arial" w:cs="Arial"/>
                <w:bCs/>
                <w:color w:val="auto"/>
                <w:sz w:val="20"/>
                <w:szCs w:val="20"/>
                <w:lang w:val="es-ES_tradnl" w:eastAsia="es-ES"/>
              </w:rPr>
              <w:t xml:space="preserve">Se otorga mayor puntaje a quien lo ofrezca o a la aseguradora que ofrezca el mayor número de servicios al año para este servicio. </w:t>
            </w:r>
            <w:r w:rsidRPr="008B2685">
              <w:rPr>
                <w:rFonts w:ascii="Arial" w:hAnsi="Arial" w:cs="Arial"/>
                <w:bCs/>
                <w:color w:val="auto"/>
                <w:sz w:val="20"/>
                <w:szCs w:val="20"/>
                <w:lang w:val="es-ES" w:eastAsia="es-ES"/>
              </w:rPr>
              <w:t>Los demás de forma proporcional.</w:t>
            </w:r>
            <w:r w:rsidRPr="008B2685">
              <w:rPr>
                <w:rFonts w:ascii="Arial" w:hAnsi="Arial" w:cs="Arial"/>
                <w:bCs/>
                <w:color w:val="auto"/>
                <w:sz w:val="20"/>
                <w:szCs w:val="20"/>
                <w:lang w:val="es-ES_tradnl" w:eastAsia="es-E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0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t xml:space="preserve">Vehículo de reemplazo: </w:t>
            </w:r>
            <w:r w:rsidRPr="008B2685">
              <w:rPr>
                <w:rFonts w:ascii="Arial" w:hAnsi="Arial" w:cs="Arial"/>
                <w:bCs/>
                <w:color w:val="auto"/>
                <w:sz w:val="20"/>
                <w:szCs w:val="20"/>
                <w:lang w:val="es-ES" w:eastAsia="es-ES"/>
              </w:rPr>
              <w:t xml:space="preserve">Quien ofrezca cobertura para la prestación del </w:t>
            </w:r>
            <w:r w:rsidRPr="008B2685">
              <w:rPr>
                <w:rFonts w:ascii="Arial" w:hAnsi="Arial" w:cs="Arial"/>
                <w:bCs/>
                <w:color w:val="auto"/>
                <w:sz w:val="20"/>
                <w:szCs w:val="20"/>
                <w:lang w:eastAsia="es-ES"/>
              </w:rPr>
              <w:t xml:space="preserve">servicio </w:t>
            </w:r>
            <w:r w:rsidRPr="008B2685">
              <w:rPr>
                <w:rFonts w:ascii="Arial" w:hAnsi="Arial" w:cs="Arial"/>
                <w:bCs/>
                <w:color w:val="auto"/>
                <w:sz w:val="20"/>
                <w:szCs w:val="20"/>
                <w:lang w:val="es-ES" w:eastAsia="es-ES"/>
              </w:rPr>
              <w:t>de vehículo de reemplazo sin depósitos para el préstamo de vehículo.</w:t>
            </w:r>
            <w:r w:rsidRPr="008B2685">
              <w:rPr>
                <w:rFonts w:ascii="Arial" w:hAnsi="Arial" w:cs="Arial"/>
                <w:bCs/>
                <w:color w:val="auto"/>
                <w:sz w:val="20"/>
                <w:szCs w:val="20"/>
                <w:lang w:val="es-ES_tradnl" w:eastAsia="es-ES"/>
              </w:rPr>
              <w:t xml:space="preserve"> Se otorga el mayor puntaje a quien lo ofrezca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315"/>
        </w:trPr>
        <w:tc>
          <w:tcPr>
            <w:tcW w:w="6172" w:type="dxa"/>
            <w:tcBorders>
              <w:top w:val="single" w:sz="4" w:space="0" w:color="auto"/>
              <w:left w:val="single" w:sz="8" w:space="0" w:color="000000"/>
              <w:bottom w:val="single" w:sz="8" w:space="0" w:color="000000"/>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t>Total Puntos</w:t>
            </w:r>
          </w:p>
        </w:tc>
        <w:tc>
          <w:tcPr>
            <w:tcW w:w="851" w:type="dxa"/>
            <w:tcBorders>
              <w:top w:val="single" w:sz="4" w:space="0" w:color="auto"/>
              <w:left w:val="nil"/>
              <w:bottom w:val="single" w:sz="8" w:space="0" w:color="000000"/>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eastAsia="Arial" w:hAnsi="Arial" w:cs="Arial"/>
                <w:color w:val="auto"/>
                <w:sz w:val="20"/>
                <w:szCs w:val="20"/>
                <w:lang w:eastAsia="es-ES"/>
              </w:rPr>
              <w:t>300</w:t>
            </w:r>
          </w:p>
        </w:tc>
        <w:tc>
          <w:tcPr>
            <w:tcW w:w="992" w:type="dxa"/>
            <w:tcBorders>
              <w:top w:val="single" w:sz="4" w:space="0" w:color="auto"/>
              <w:left w:val="nil"/>
              <w:bottom w:val="single" w:sz="8" w:space="0" w:color="000000"/>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eastAsia="Arial" w:hAnsi="Arial" w:cs="Arial"/>
                <w:color w:val="auto"/>
                <w:sz w:val="20"/>
                <w:szCs w:val="20"/>
                <w:lang w:eastAsia="es-ES"/>
              </w:rPr>
              <w:t> </w:t>
            </w:r>
          </w:p>
        </w:tc>
        <w:tc>
          <w:tcPr>
            <w:tcW w:w="1418" w:type="dxa"/>
            <w:tcBorders>
              <w:top w:val="single" w:sz="4" w:space="0" w:color="auto"/>
              <w:left w:val="nil"/>
              <w:bottom w:val="single" w:sz="8" w:space="0" w:color="000000"/>
              <w:right w:val="single" w:sz="8" w:space="0" w:color="000000"/>
            </w:tcBorders>
            <w:shd w:val="clear" w:color="000000" w:fill="D9D9D9"/>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s-ES" w:eastAsia="es-ES"/>
              </w:rPr>
            </w:pPr>
            <w:r w:rsidRPr="00912048">
              <w:rPr>
                <w:rFonts w:ascii="Arial" w:eastAsia="Arial" w:hAnsi="Arial" w:cs="Arial"/>
                <w:sz w:val="20"/>
                <w:szCs w:val="20"/>
                <w:lang w:eastAsia="es-ES"/>
              </w:rPr>
              <w:t> </w:t>
            </w:r>
          </w:p>
        </w:tc>
      </w:tr>
    </w:tbl>
    <w:p w:rsidR="00566ADE" w:rsidRDefault="00566ADE">
      <w:pPr>
        <w:rPr>
          <w:rFonts w:ascii="Arial" w:hAnsi="Arial" w:cs="Arial"/>
          <w:sz w:val="20"/>
          <w:szCs w:val="20"/>
        </w:rPr>
      </w:pPr>
    </w:p>
    <w:p w:rsidR="00566ADE" w:rsidRPr="00883068" w:rsidRDefault="00566ADE">
      <w:pPr>
        <w:rPr>
          <w:rFonts w:ascii="Arial" w:hAnsi="Arial" w:cs="Arial"/>
          <w:sz w:val="20"/>
          <w:szCs w:val="20"/>
        </w:rPr>
      </w:pPr>
    </w:p>
    <w:p w:rsidR="006A0C74" w:rsidRDefault="002E1130" w:rsidP="006A0C74">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sidR="006A0C74" w:rsidRPr="00A31BA2">
        <w:rPr>
          <w:rFonts w:ascii="Arial" w:hAnsi="Arial" w:cs="Arial"/>
          <w:sz w:val="20"/>
          <w:szCs w:val="20"/>
        </w:rPr>
        <w:tab/>
      </w:r>
      <w:r w:rsidR="006A0C74" w:rsidRPr="00A31BA2">
        <w:rPr>
          <w:rFonts w:ascii="Arial" w:hAnsi="Arial" w:cs="Arial"/>
          <w:sz w:val="20"/>
          <w:szCs w:val="20"/>
        </w:rPr>
        <w:tab/>
      </w:r>
    </w:p>
    <w:p w:rsidR="00917146" w:rsidRDefault="00917146" w:rsidP="006A0C74">
      <w:pPr>
        <w:jc w:val="both"/>
        <w:rPr>
          <w:rFonts w:ascii="Arial" w:hAnsi="Arial" w:cs="Arial"/>
          <w:sz w:val="20"/>
          <w:szCs w:val="20"/>
        </w:rPr>
      </w:pPr>
    </w:p>
    <w:p w:rsidR="00917146" w:rsidRDefault="00917146" w:rsidP="006A0C74">
      <w:pPr>
        <w:jc w:val="both"/>
        <w:rPr>
          <w:rFonts w:ascii="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t>1.3 Póliza de Manejo Global para Entidades Oficiales</w:t>
      </w:r>
    </w:p>
    <w:p w:rsidR="00A76FCB" w:rsidRDefault="00A76FCB" w:rsidP="00A76FCB">
      <w:pPr>
        <w:rPr>
          <w:rFonts w:eastAsia="Arial"/>
        </w:rPr>
      </w:pPr>
    </w:p>
    <w:tbl>
      <w:tblPr>
        <w:tblW w:w="9493" w:type="dxa"/>
        <w:tblCellMar>
          <w:left w:w="70" w:type="dxa"/>
          <w:right w:w="70" w:type="dxa"/>
        </w:tblCellMar>
        <w:tblLook w:val="04A0" w:firstRow="1" w:lastRow="0" w:firstColumn="1" w:lastColumn="0" w:noHBand="0" w:noVBand="1"/>
      </w:tblPr>
      <w:tblGrid>
        <w:gridCol w:w="5020"/>
        <w:gridCol w:w="1200"/>
        <w:gridCol w:w="1200"/>
        <w:gridCol w:w="1931"/>
        <w:gridCol w:w="142"/>
      </w:tblGrid>
      <w:tr w:rsidR="005B5B44" w:rsidRPr="005B5B44" w:rsidTr="00B30552">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Se le asignan puntos (SI/NO)</w:t>
            </w:r>
          </w:p>
        </w:tc>
        <w:tc>
          <w:tcPr>
            <w:tcW w:w="2073" w:type="dxa"/>
            <w:gridSpan w:val="2"/>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Puntos asignados</w:t>
            </w:r>
          </w:p>
        </w:tc>
      </w:tr>
      <w:tr w:rsidR="005B5B44" w:rsidRPr="005B5B44" w:rsidTr="00B30552">
        <w:trPr>
          <w:trHeight w:val="117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Limite principal adicional al </w:t>
            </w:r>
            <w:r w:rsidR="00EF3C72" w:rsidRPr="005B5B44">
              <w:rPr>
                <w:rFonts w:ascii="Arial" w:hAnsi="Arial" w:cs="Arial"/>
                <w:b/>
                <w:bCs/>
                <w:color w:val="auto"/>
                <w:sz w:val="20"/>
                <w:szCs w:val="20"/>
              </w:rPr>
              <w:t>básico</w:t>
            </w:r>
            <w:r w:rsidRPr="005B5B44">
              <w:rPr>
                <w:rFonts w:ascii="Arial" w:hAnsi="Arial" w:cs="Arial"/>
                <w:b/>
                <w:bCs/>
                <w:color w:val="auto"/>
                <w:sz w:val="20"/>
                <w:szCs w:val="20"/>
              </w:rPr>
              <w:t xml:space="preserve"> de $600,000,000 </w:t>
            </w:r>
            <w:r w:rsidR="00EF3C72">
              <w:rPr>
                <w:rFonts w:ascii="Arial" w:hAnsi="Arial" w:cs="Arial"/>
                <w:color w:val="auto"/>
                <w:sz w:val="20"/>
                <w:szCs w:val="20"/>
              </w:rPr>
              <w:t xml:space="preserve">al oferente que otorgue </w:t>
            </w:r>
            <w:r w:rsidRPr="005B5B44">
              <w:rPr>
                <w:rFonts w:ascii="Arial" w:hAnsi="Arial" w:cs="Arial"/>
                <w:color w:val="auto"/>
                <w:sz w:val="20"/>
                <w:szCs w:val="20"/>
              </w:rPr>
              <w:t xml:space="preserve">limite adicional al </w:t>
            </w:r>
            <w:r w:rsidR="00EF3C72" w:rsidRPr="005B5B44">
              <w:rPr>
                <w:rFonts w:ascii="Arial" w:hAnsi="Arial" w:cs="Arial"/>
                <w:color w:val="auto"/>
                <w:sz w:val="20"/>
                <w:szCs w:val="20"/>
              </w:rPr>
              <w:t>básico</w:t>
            </w:r>
            <w:r w:rsidRPr="005B5B44">
              <w:rPr>
                <w:rFonts w:ascii="Arial" w:hAnsi="Arial" w:cs="Arial"/>
                <w:color w:val="auto"/>
                <w:sz w:val="20"/>
                <w:szCs w:val="20"/>
              </w:rPr>
              <w:t xml:space="preserve"> se le otorgara la </w:t>
            </w:r>
            <w:r w:rsidR="00EF3C72" w:rsidRPr="005B5B44">
              <w:rPr>
                <w:rFonts w:ascii="Arial" w:hAnsi="Arial" w:cs="Arial"/>
                <w:color w:val="auto"/>
                <w:sz w:val="20"/>
                <w:szCs w:val="20"/>
              </w:rPr>
              <w:t>máxima</w:t>
            </w:r>
            <w:r w:rsidRPr="005B5B44">
              <w:rPr>
                <w:rFonts w:ascii="Arial" w:hAnsi="Arial" w:cs="Arial"/>
                <w:color w:val="auto"/>
                <w:sz w:val="20"/>
                <w:szCs w:val="20"/>
              </w:rPr>
              <w:t xml:space="preserve"> </w:t>
            </w:r>
            <w:r w:rsidR="00EF3C72" w:rsidRPr="005B5B44">
              <w:rPr>
                <w:rFonts w:ascii="Arial" w:hAnsi="Arial" w:cs="Arial"/>
                <w:color w:val="auto"/>
                <w:sz w:val="20"/>
                <w:szCs w:val="20"/>
              </w:rPr>
              <w:t>calificación</w:t>
            </w:r>
            <w:r w:rsidRPr="005B5B44">
              <w:rPr>
                <w:rFonts w:ascii="Arial" w:hAnsi="Arial" w:cs="Arial"/>
                <w:color w:val="auto"/>
                <w:sz w:val="20"/>
                <w:szCs w:val="20"/>
              </w:rPr>
              <w:t xml:space="preserve"> y las </w:t>
            </w:r>
            <w:r w:rsidR="00EF3C72" w:rsidRPr="005B5B44">
              <w:rPr>
                <w:rFonts w:ascii="Arial" w:hAnsi="Arial" w:cs="Arial"/>
                <w:color w:val="auto"/>
                <w:sz w:val="20"/>
                <w:szCs w:val="20"/>
              </w:rPr>
              <w:t>demás</w:t>
            </w:r>
            <w:r w:rsidRPr="005B5B44">
              <w:rPr>
                <w:rFonts w:ascii="Arial" w:hAnsi="Arial" w:cs="Arial"/>
                <w:color w:val="auto"/>
                <w:sz w:val="20"/>
                <w:szCs w:val="20"/>
              </w:rPr>
              <w:t xml:space="preserve"> </w:t>
            </w:r>
            <w:r w:rsidR="00EF3C72" w:rsidRPr="005B5B44">
              <w:rPr>
                <w:rFonts w:ascii="Arial" w:hAnsi="Arial" w:cs="Arial"/>
                <w:color w:val="auto"/>
                <w:sz w:val="20"/>
                <w:szCs w:val="20"/>
              </w:rPr>
              <w:t>calificación</w:t>
            </w:r>
            <w:r w:rsidRPr="005B5B44">
              <w:rPr>
                <w:rFonts w:ascii="Arial" w:hAnsi="Arial" w:cs="Arial"/>
                <w:color w:val="auto"/>
                <w:sz w:val="20"/>
                <w:szCs w:val="20"/>
              </w:rPr>
              <w:t xml:space="preserve">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250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c>
          <w:tcPr>
            <w:tcW w:w="2073" w:type="dxa"/>
            <w:gridSpan w:val="2"/>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gridAfter w:val="1"/>
          <w:wAfter w:w="142" w:type="dxa"/>
          <w:trHeight w:val="117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lastRenderedPageBreak/>
              <w:t xml:space="preserve">Restablecimiento automático del límite asegurado por pago de siniestro, </w:t>
            </w:r>
            <w:r w:rsidRPr="005B5B44">
              <w:rPr>
                <w:rFonts w:ascii="Arial" w:hAnsi="Arial" w:cs="Arial"/>
                <w:color w:val="auto"/>
                <w:sz w:val="20"/>
                <w:szCs w:val="20"/>
              </w:rPr>
              <w:t>se califica el límite adicional ofrecido al básico obligatorio, hasta una (1) vez. (Esto en exceso de dos veces del básico y hasta 3 veces).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50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gridAfter w:val="1"/>
          <w:wAfter w:w="142" w:type="dxa"/>
          <w:trHeight w:val="30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0"/>
                <w:szCs w:val="20"/>
              </w:rPr>
            </w:pPr>
            <w:r w:rsidRPr="005B5B44">
              <w:rPr>
                <w:rFonts w:ascii="Arial" w:hAnsi="Arial" w:cs="Arial"/>
                <w:b/>
                <w:bCs/>
                <w:sz w:val="20"/>
                <w:szCs w:val="20"/>
              </w:rPr>
              <w:t>Total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300</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bl>
    <w:p w:rsidR="0058374B" w:rsidRDefault="0058374B">
      <w:pPr>
        <w:jc w:val="both"/>
        <w:rPr>
          <w:rFonts w:ascii="Arial" w:hAnsi="Arial" w:cs="Arial"/>
          <w:sz w:val="20"/>
          <w:szCs w:val="20"/>
        </w:rPr>
      </w:pPr>
    </w:p>
    <w:p w:rsidR="00566ADE" w:rsidRDefault="00566ADE">
      <w:pPr>
        <w:jc w:val="both"/>
        <w:rPr>
          <w:rFonts w:ascii="Arial" w:hAnsi="Arial" w:cs="Arial"/>
          <w:sz w:val="20"/>
          <w:szCs w:val="20"/>
        </w:rPr>
      </w:pPr>
    </w:p>
    <w:p w:rsidR="00085593" w:rsidRDefault="002E1130">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sidR="00495838">
        <w:rPr>
          <w:rFonts w:ascii="Arial" w:hAnsi="Arial" w:cs="Arial"/>
          <w:sz w:val="20"/>
          <w:szCs w:val="20"/>
        </w:rPr>
        <w:t>.</w:t>
      </w:r>
    </w:p>
    <w:p w:rsidR="002E1130" w:rsidRDefault="002E1130">
      <w:pPr>
        <w:jc w:val="both"/>
        <w:rPr>
          <w:rFonts w:ascii="Arial" w:hAnsi="Arial" w:cs="Arial"/>
          <w:sz w:val="20"/>
          <w:szCs w:val="20"/>
        </w:rPr>
      </w:pPr>
    </w:p>
    <w:p w:rsidR="000F0BD3" w:rsidRDefault="000F0BD3">
      <w:pPr>
        <w:jc w:val="both"/>
        <w:rPr>
          <w:rFonts w:ascii="Arial" w:hAnsi="Arial" w:cs="Arial"/>
          <w:sz w:val="20"/>
          <w:szCs w:val="20"/>
        </w:rPr>
      </w:pPr>
    </w:p>
    <w:p w:rsidR="000F0BD3" w:rsidRDefault="000F0BD3">
      <w:pPr>
        <w:jc w:val="both"/>
        <w:rPr>
          <w:rFonts w:ascii="Arial" w:hAnsi="Arial" w:cs="Arial"/>
          <w:sz w:val="20"/>
          <w:szCs w:val="20"/>
        </w:rPr>
      </w:pPr>
    </w:p>
    <w:p w:rsidR="00A21A77" w:rsidRDefault="00344F9E">
      <w:pPr>
        <w:pStyle w:val="Ttulo4"/>
        <w:spacing w:before="0" w:after="0"/>
        <w:rPr>
          <w:rFonts w:ascii="Arial" w:eastAsia="Arial" w:hAnsi="Arial" w:cs="Arial"/>
          <w:sz w:val="20"/>
          <w:szCs w:val="20"/>
        </w:rPr>
      </w:pPr>
      <w:r w:rsidRPr="00883068">
        <w:rPr>
          <w:rFonts w:ascii="Arial" w:eastAsia="Arial" w:hAnsi="Arial" w:cs="Arial"/>
          <w:sz w:val="20"/>
          <w:szCs w:val="20"/>
        </w:rPr>
        <w:t xml:space="preserve">1.4 Póliza de Responsabilidad Civil Extracontractual </w:t>
      </w:r>
    </w:p>
    <w:p w:rsidR="005A35AA" w:rsidRDefault="005A35AA" w:rsidP="005A35AA">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5B5B4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Condiciones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 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Puntos asignados</w:t>
            </w:r>
          </w:p>
        </w:tc>
      </w:tr>
      <w:tr w:rsidR="005B5B44" w:rsidRPr="005B5B44" w:rsidTr="005B5B44">
        <w:trPr>
          <w:trHeight w:val="229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proofErr w:type="spellStart"/>
            <w:r w:rsidRPr="005B5B44">
              <w:rPr>
                <w:rFonts w:ascii="Arial" w:hAnsi="Arial" w:cs="Arial"/>
                <w:b/>
                <w:bCs/>
                <w:color w:val="auto"/>
                <w:sz w:val="20"/>
                <w:szCs w:val="20"/>
              </w:rPr>
              <w:t>Sublímite</w:t>
            </w:r>
            <w:proofErr w:type="spellEnd"/>
            <w:r w:rsidRPr="005B5B44">
              <w:rPr>
                <w:rFonts w:ascii="Arial" w:hAnsi="Arial" w:cs="Arial"/>
                <w:b/>
                <w:bCs/>
                <w:color w:val="auto"/>
                <w:sz w:val="20"/>
                <w:szCs w:val="20"/>
              </w:rPr>
              <w:t xml:space="preserve"> para Gastos médicos por evento y por vigencia. . </w:t>
            </w:r>
            <w:r w:rsidRPr="005B5B44">
              <w:rPr>
                <w:rFonts w:ascii="Arial" w:hAnsi="Arial" w:cs="Arial"/>
                <w:color w:val="auto"/>
                <w:sz w:val="20"/>
                <w:szCs w:val="20"/>
              </w:rPr>
              <w:t xml:space="preserve">Se califica el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adicional ofrecido a quien ofrezca mayor valor asegurado adicional al básico obligatorio de $800.000.000 por evento / $4.000.000.000 vigencia y sin que el valor adicional ofrecido sea superior a $100.000.000 por evento/ $200.000.000 vigencia. El PROPONENTE que ofrezca $100.000.000 por evento / $200.000.000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15</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r>
      <w:tr w:rsidR="005B5B44" w:rsidRPr="005B5B44" w:rsidTr="005B5B44">
        <w:trPr>
          <w:trHeight w:val="229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Límite para responsabilidad civil patronal, </w:t>
            </w:r>
            <w:r w:rsidRPr="005B5B44">
              <w:rPr>
                <w:rFonts w:ascii="Arial" w:hAnsi="Arial" w:cs="Arial"/>
                <w:color w:val="auto"/>
                <w:sz w:val="20"/>
                <w:szCs w:val="20"/>
              </w:rPr>
              <w:t>en exceso de la seguridad social. Quien ofrezca el mayor límite asegurado adicional al básico obligatorio de $2.000.000.000 por evento/ $4.000.000.000 vigencia y sin que el valor adicional ofrecido sea superior a $500.000.000 por evento/  $1.000.000.000 vigencia, obtendrá el mayor puntaje el PROPONENTE que ofrezca $500.000.000 por evento / $1.000.000.000 vigencia,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15</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7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Límite para Vehículos propios y no propios</w:t>
            </w:r>
            <w:r w:rsidRPr="005B5B44">
              <w:rPr>
                <w:rFonts w:ascii="Arial" w:hAnsi="Arial" w:cs="Arial"/>
                <w:color w:val="auto"/>
                <w:sz w:val="20"/>
                <w:szCs w:val="20"/>
              </w:rPr>
              <w:t>.  Quien ofrezca el mayor límite asegurado adicional al básico obligatorio de $2.000.000.000 por evento/ $3.200.000.000 vigencia y sin que el valor adicional ofrecido sea superior a $500.000.000 por evento/  $800.000.000 vigencia,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7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lastRenderedPageBreak/>
              <w:t xml:space="preserve">Restablecimiento automático del límite asegurado por pago de siniestro, </w:t>
            </w:r>
            <w:r w:rsidRPr="005B5B44">
              <w:rPr>
                <w:rFonts w:ascii="Arial" w:hAnsi="Arial" w:cs="Arial"/>
                <w:color w:val="auto"/>
                <w:sz w:val="20"/>
                <w:szCs w:val="20"/>
              </w:rPr>
              <w:t>quien ofrezca una vez más adicional a las 2 veces de restablecimiento automático del límite asegurado solicitado en el básico obligatorio, obtendrá el puntaje establecido.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7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Drones o equipos de control remoto: </w:t>
            </w:r>
            <w:r w:rsidRPr="005B5B44">
              <w:rPr>
                <w:rFonts w:ascii="Arial" w:hAnsi="Arial" w:cs="Arial"/>
                <w:color w:val="auto"/>
                <w:sz w:val="20"/>
                <w:szCs w:val="20"/>
              </w:rPr>
              <w:t>quien ofrezca cobertura de responsabilidad Civil Extracontractual para perjuicios a terceros derivados del uso de estos equipos al 100% del límite obtendrá el mayor puntaje, los demás de forma proporcional.</w:t>
            </w:r>
            <w:r w:rsidRPr="005B5B44">
              <w:rPr>
                <w:rFonts w:ascii="Arial" w:hAnsi="Arial" w:cs="Arial"/>
                <w:b/>
                <w:bCs/>
                <w:color w:val="auto"/>
                <w:sz w:val="20"/>
                <w:szCs w:val="20"/>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70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53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Responsabilidad Civil Profesional:</w:t>
            </w:r>
            <w:r w:rsidRPr="005B5B44">
              <w:rPr>
                <w:rFonts w:ascii="Arial" w:hAnsi="Arial" w:cs="Arial"/>
                <w:color w:val="auto"/>
                <w:sz w:val="20"/>
                <w:szCs w:val="20"/>
              </w:rPr>
              <w:t xml:space="preserve"> quien ofrezca cobertura de responsabilidad Civil profesional (diferente a la médica) que pueda resultar derivada de las actividades y contratos de estudiantes en prácticas de profesiones liberales al 100% del límite obtendrá el mayor puntaje, los demás de forma proporcional.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70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7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Gastos de limpieza por derrames y contaminación: quien ofrezca cobertura de responsabilidad Civil Extracontractual para perjuicios a terceros derivados de los derrames de líquidos o cualquier tipo de sustancias generen o no contaminación, al 100% del límite obtendrá el mayor puntaje, los demás de forma proporcional.</w:t>
            </w:r>
            <w:r w:rsidRPr="005B5B44">
              <w:rPr>
                <w:rFonts w:ascii="Arial" w:hAnsi="Arial" w:cs="Arial"/>
                <w:b/>
                <w:bCs/>
                <w:color w:val="auto"/>
                <w:sz w:val="20"/>
                <w:szCs w:val="20"/>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53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Responsabilidad Civil Extracontractual incluyendo la derivada de daño o hurto de bicicletas en sedes de la  ASEGURADA como vehículo no motorizado: Quién ofrezca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hasta $5.000.000 obtendrá mayor puntaje los demás en forma proporcional.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000000" w:fill="D9D9D9"/>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bl>
    <w:p w:rsidR="005A35AA" w:rsidRDefault="005A35AA" w:rsidP="005A35AA">
      <w:pPr>
        <w:rPr>
          <w:rFonts w:eastAsia="Arial"/>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0B3847" w:rsidRDefault="000B3847" w:rsidP="000B3847">
      <w:pPr>
        <w:rPr>
          <w:rFonts w:ascii="Arial" w:eastAsia="Arial" w:hAnsi="Arial" w:cs="Arial"/>
          <w:sz w:val="20"/>
          <w:szCs w:val="20"/>
        </w:rPr>
      </w:pPr>
    </w:p>
    <w:p w:rsidR="000B3847" w:rsidRDefault="000B3847" w:rsidP="000B3847">
      <w:pPr>
        <w:rPr>
          <w:rFonts w:ascii="Arial" w:eastAsia="Arial" w:hAnsi="Arial" w:cs="Arial"/>
          <w:sz w:val="20"/>
          <w:szCs w:val="20"/>
        </w:rPr>
      </w:pPr>
    </w:p>
    <w:p w:rsidR="00A21A77" w:rsidRDefault="00344F9E" w:rsidP="000B3847">
      <w:pPr>
        <w:pStyle w:val="Ttulo4"/>
        <w:spacing w:before="0" w:after="0"/>
        <w:rPr>
          <w:rFonts w:ascii="Arial" w:eastAsia="Arial" w:hAnsi="Arial" w:cs="Arial"/>
          <w:sz w:val="20"/>
          <w:szCs w:val="20"/>
        </w:rPr>
      </w:pPr>
      <w:r w:rsidRPr="00883068">
        <w:rPr>
          <w:rFonts w:ascii="Arial" w:eastAsia="Arial" w:hAnsi="Arial" w:cs="Arial"/>
          <w:sz w:val="20"/>
          <w:szCs w:val="20"/>
        </w:rPr>
        <w:t>1.5 Póliza para Responsabilidad Civil Médica</w:t>
      </w:r>
    </w:p>
    <w:p w:rsidR="005A35AA" w:rsidRDefault="005A35AA" w:rsidP="005A35AA">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5B5B4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bookmarkStart w:id="2" w:name="_30j0zll" w:colFirst="0" w:colLast="0"/>
            <w:bookmarkEnd w:id="2"/>
            <w:r w:rsidRPr="005B5B4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puntos asignados</w:t>
            </w:r>
          </w:p>
        </w:tc>
      </w:tr>
      <w:tr w:rsidR="005B5B44" w:rsidRPr="005B5B44" w:rsidTr="005B5B44">
        <w:trPr>
          <w:trHeight w:val="315"/>
        </w:trPr>
        <w:tc>
          <w:tcPr>
            <w:tcW w:w="502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Ofrecimiento de límite adicional al básico de $1.000’000.000.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15"/>
        </w:trPr>
        <w:tc>
          <w:tcPr>
            <w:tcW w:w="502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75"/>
        </w:trPr>
        <w:tc>
          <w:tcPr>
            <w:tcW w:w="502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lastRenderedPageBreak/>
              <w:t>No ofrecimiento de límite adicional / 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lastRenderedPageBreak/>
              <w:t>$200’000.000 / 10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$300’000.000 / 30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$500’000.000 / 50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2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Ensayos Clínicos, </w:t>
            </w:r>
            <w:r w:rsidRPr="005B5B44">
              <w:rPr>
                <w:rFonts w:ascii="Arial" w:hAnsi="Arial" w:cs="Arial"/>
                <w:color w:val="auto"/>
                <w:sz w:val="20"/>
                <w:szCs w:val="20"/>
              </w:rPr>
              <w:t xml:space="preserve">Quien ofrezca cobertura para la RC Derivada de ensayos clínicos y procedimientos experimentales al 100% del límite obtendrá el mayor puntaje, los demás </w:t>
            </w:r>
            <w:proofErr w:type="spellStart"/>
            <w:r w:rsidRPr="005B5B44">
              <w:rPr>
                <w:rFonts w:ascii="Arial" w:hAnsi="Arial" w:cs="Arial"/>
                <w:color w:val="auto"/>
                <w:sz w:val="20"/>
                <w:szCs w:val="20"/>
              </w:rPr>
              <w:t>sublímites</w:t>
            </w:r>
            <w:proofErr w:type="spellEnd"/>
            <w:r w:rsidRPr="005B5B44">
              <w:rPr>
                <w:rFonts w:ascii="Arial" w:hAnsi="Arial" w:cs="Arial"/>
                <w:color w:val="auto"/>
                <w:sz w:val="20"/>
                <w:szCs w:val="20"/>
              </w:rPr>
              <w:t xml:space="preserve"> en forma proporcional</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39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Restablecimiento automático del límite asegurado por pago de siniestro, </w:t>
            </w:r>
            <w:r w:rsidRPr="005B5B44">
              <w:rPr>
                <w:rFonts w:ascii="Arial" w:hAnsi="Arial" w:cs="Arial"/>
                <w:color w:val="auto"/>
                <w:sz w:val="20"/>
                <w:szCs w:val="20"/>
              </w:rPr>
              <w:t>quien ofrezca una vez más adicional a las 2 veces de restablecimiento automático del límite asegurado solicitado en el básico obligatorio, obtendrá el puntaje establecido.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15"/>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r>
    </w:tbl>
    <w:p w:rsidR="005B5B44" w:rsidRDefault="005B5B44" w:rsidP="00495838">
      <w:pPr>
        <w:jc w:val="both"/>
        <w:rPr>
          <w:rFonts w:ascii="Arial" w:hAnsi="Arial" w:cs="Arial"/>
          <w:sz w:val="20"/>
          <w:szCs w:val="20"/>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5018C9" w:rsidRDefault="005018C9">
      <w:pPr>
        <w:rPr>
          <w:rFonts w:ascii="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t>1.6 Póliza de Transporte de Mercancías</w:t>
      </w:r>
    </w:p>
    <w:p w:rsidR="005A35AA" w:rsidRDefault="005A35AA" w:rsidP="005A35AA">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5B5B4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Puntos asignados</w:t>
            </w:r>
          </w:p>
        </w:tc>
      </w:tr>
      <w:tr w:rsidR="005B5B44" w:rsidRPr="005B5B44" w:rsidTr="005B5B44">
        <w:trPr>
          <w:trHeight w:val="11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Ofrecimiento de límite adicional al básico de $1.800.000.000 por despacho para importaciones.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No ofrecimiento de límite adicional / 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$100.000.000 / 10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$200.000.000 / 20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$300.000.000 / 30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15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Ofrecimiento de límite adicional al básico de $400.000.000 por despacho para exportaciones.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No ofrecimiento de límite adicional / 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$50.000.000 / 5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$100.000.000 / 10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$150.000.000 / 20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15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lastRenderedPageBreak/>
              <w:t xml:space="preserve">Ofrecimiento de límite adicional al básico de $400.000.000 por despacho para despachos nacionales y urbanos.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No ofrecimiento de límite adicional / 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50000000 / 5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100000000 / 10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150000000 / 20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84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Gastos para la demostración, la ocurrencia y cuantía de la pérdida. </w:t>
            </w:r>
            <w:r w:rsidRPr="005B5B44">
              <w:rPr>
                <w:rFonts w:ascii="Arial" w:hAnsi="Arial" w:cs="Arial"/>
                <w:color w:val="auto"/>
                <w:sz w:val="20"/>
                <w:szCs w:val="20"/>
              </w:rPr>
              <w:t xml:space="preserve">La compañía indemnizará bajo este amparo los gastos en que incurra el asegurado, para la demostración de la ocurrencia y cuantía del siniestro. Quien otorgue un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hasta $400.000.000 obtendrá el mayor puntaje, los demás en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1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Destrucción ordenada por actos de autoridad </w:t>
            </w:r>
            <w:r w:rsidRPr="005B5B44">
              <w:rPr>
                <w:rFonts w:ascii="Arial" w:hAnsi="Arial" w:cs="Arial"/>
                <w:color w:val="auto"/>
                <w:sz w:val="20"/>
                <w:szCs w:val="20"/>
              </w:rPr>
              <w:t>incluyendo los generados por AMIT, Sabotaje y Terrorismo, tomas a poblaciones, municipios y ciudades por grupos al margen de la Ley.</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8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 xml:space="preserve">Quien otorgue un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hasta $800.000.000 obtendrá el mayor puntaje, los demás en forma proporcional.</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1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Cobertura de gastos para evitar la extensión y propagación del siniestro. </w:t>
            </w:r>
            <w:r w:rsidRPr="005B5B44">
              <w:rPr>
                <w:rFonts w:ascii="Arial" w:hAnsi="Arial" w:cs="Arial"/>
                <w:color w:val="auto"/>
                <w:sz w:val="20"/>
                <w:szCs w:val="20"/>
              </w:rPr>
              <w:t>Quien otorgue el 100% de los gastos demostrados obtendrá el mayor puntaje, los demás en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08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Cobertura de gastos de extinción del siniestro. </w:t>
            </w:r>
            <w:r w:rsidRPr="005B5B44">
              <w:rPr>
                <w:rFonts w:ascii="Arial" w:hAnsi="Arial" w:cs="Arial"/>
                <w:color w:val="auto"/>
                <w:sz w:val="20"/>
                <w:szCs w:val="20"/>
              </w:rPr>
              <w:t>Quien otorgue el 100% de los gastos demostrados obtendrá el mayor puntaje, los demás en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7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Cláusula de renuncia del salvamento en mercancías controladas. </w:t>
            </w:r>
            <w:r w:rsidRPr="005B5B44">
              <w:rPr>
                <w:rFonts w:ascii="Arial" w:hAnsi="Arial" w:cs="Arial"/>
                <w:color w:val="auto"/>
                <w:sz w:val="20"/>
                <w:szCs w:val="20"/>
              </w:rPr>
              <w:t xml:space="preserve">Quien acepte abandonar el salvamento que requiera ser destruido en presencia de la autoridad competente se le otorgará el puntaje.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000000" w:fill="D9D9D9"/>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bl>
    <w:p w:rsidR="00495838" w:rsidRDefault="00495838" w:rsidP="008A0C65">
      <w:pPr>
        <w:jc w:val="both"/>
        <w:rPr>
          <w:rFonts w:ascii="Arial" w:hAnsi="Arial" w:cs="Arial"/>
          <w:sz w:val="20"/>
          <w:szCs w:val="20"/>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495838" w:rsidRDefault="00495838" w:rsidP="00495838">
      <w:pPr>
        <w:jc w:val="both"/>
        <w:rPr>
          <w:rFonts w:ascii="Arial" w:hAnsi="Arial" w:cs="Arial"/>
          <w:sz w:val="20"/>
          <w:szCs w:val="20"/>
        </w:rPr>
      </w:pPr>
    </w:p>
    <w:p w:rsidR="00E021B5" w:rsidRDefault="00E021B5" w:rsidP="00495838">
      <w:pPr>
        <w:jc w:val="both"/>
        <w:rPr>
          <w:rFonts w:ascii="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lastRenderedPageBreak/>
        <w:t>1.7 Póliza de Transporte de Valores</w:t>
      </w:r>
    </w:p>
    <w:p w:rsidR="00680146" w:rsidRDefault="00680146" w:rsidP="00680146">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83113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Condiciones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300 Puntos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Puntos Asignados</w:t>
            </w:r>
          </w:p>
        </w:tc>
      </w:tr>
      <w:tr w:rsidR="005B5B44" w:rsidRPr="005B5B44" w:rsidTr="00831134">
        <w:trPr>
          <w:trHeight w:val="133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Oferta de límites adicionales en las garantías de Transporte, </w:t>
            </w:r>
            <w:r w:rsidRPr="005B5B44">
              <w:rPr>
                <w:rFonts w:ascii="Arial" w:hAnsi="Arial" w:cs="Arial"/>
                <w:color w:val="auto"/>
                <w:sz w:val="20"/>
                <w:szCs w:val="20"/>
              </w:rPr>
              <w:t>para dinero en efectivo, con mensajero particular.(Se califica el mayor limite por despacho, adicional a los señalados en las condiciones básicas), así:</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5B5B44">
              <w:rPr>
                <w:rFonts w:ascii="Calibri" w:hAnsi="Calibri" w:cs="Calibri"/>
                <w:sz w:val="22"/>
                <w:szCs w:val="22"/>
              </w:rPr>
              <w:t> </w:t>
            </w:r>
          </w:p>
        </w:tc>
      </w:tr>
      <w:tr w:rsidR="005B5B44" w:rsidRPr="005B5B44" w:rsidTr="00831134">
        <w:trPr>
          <w:trHeight w:val="132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Límite mínimo por despacho de hasta 35 SMMLV, transportado por cualquier persona natural mayor de edad que labore para el asegurado bajo cualquier modalidad de contratación solo. / 150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5B5B44" w:rsidRPr="005B5B44" w:rsidTr="00831134">
        <w:trPr>
          <w:trHeight w:val="127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Límite por despacho de superior a 35 SMMLV y hasta 50 SMMLV transportado por cualquier persona natural mayor de edad que labore para el asegurado bajo cualquier modalidad de contratación acompañado por persona mayor de edad. / 300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5B5B44" w:rsidRPr="005B5B44" w:rsidTr="0083113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 </w:t>
            </w:r>
          </w:p>
        </w:tc>
      </w:tr>
    </w:tbl>
    <w:p w:rsidR="00680146" w:rsidRDefault="00680146" w:rsidP="00680146">
      <w:pPr>
        <w:rPr>
          <w:rFonts w:eastAsia="Arial"/>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967EF3" w:rsidRDefault="00967EF3">
      <w:pPr>
        <w:jc w:val="both"/>
        <w:rPr>
          <w:rFonts w:ascii="Arial" w:eastAsia="Arial" w:hAnsi="Arial" w:cs="Arial"/>
          <w:sz w:val="20"/>
          <w:szCs w:val="20"/>
        </w:rPr>
      </w:pPr>
    </w:p>
    <w:p w:rsidR="00495838" w:rsidRDefault="00495838">
      <w:pPr>
        <w:jc w:val="both"/>
        <w:rPr>
          <w:rFonts w:ascii="Arial" w:eastAsia="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t>1.8 Póliza de Maquinaria y Equipo de Contratistas</w:t>
      </w:r>
    </w:p>
    <w:p w:rsidR="00701D3D" w:rsidRDefault="00701D3D" w:rsidP="00701D3D">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831134" w:rsidRPr="00831134" w:rsidTr="0083113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Puntos Asignados</w:t>
            </w:r>
          </w:p>
        </w:tc>
      </w:tr>
      <w:tr w:rsidR="00831134" w:rsidRPr="00831134" w:rsidTr="00831134">
        <w:trPr>
          <w:trHeight w:val="102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 xml:space="preserve">Ofrecimiento de límite adicional al básico de $600.000.000 para la cobertura de Responsabilidad Civil Extracontractual. </w:t>
            </w:r>
            <w:r w:rsidRPr="0083113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831134">
              <w:rPr>
                <w:rFonts w:ascii="Calibri" w:hAnsi="Calibri" w:cs="Calibri"/>
                <w:sz w:val="22"/>
                <w:szCs w:val="22"/>
              </w:rPr>
              <w:t> </w:t>
            </w: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 / 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$100.000.000 / 25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$200.000.000 / 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$300.000.000 / 100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127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lastRenderedPageBreak/>
              <w:t>Cobertura de Amparo de Accidentes Personales</w:t>
            </w:r>
            <w:r w:rsidRPr="00831134">
              <w:rPr>
                <w:rFonts w:ascii="Arial" w:hAnsi="Arial" w:cs="Arial"/>
                <w:color w:val="auto"/>
                <w:sz w:val="20"/>
                <w:szCs w:val="20"/>
              </w:rPr>
              <w:t>.  Este amparo cubre la muerte o desmembración que sufra el conductor autorizado, como consecuencia única y exclusiva de un accidente de tránsito súbito u operación de la maquinaria y equipo, e independiente de su voluntad</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200</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831134">
              <w:rPr>
                <w:rFonts w:ascii="Calibri" w:hAnsi="Calibri" w:cs="Calibri"/>
                <w:sz w:val="22"/>
                <w:szCs w:val="22"/>
              </w:rPr>
              <w:t> </w:t>
            </w:r>
          </w:p>
        </w:tc>
      </w:tr>
      <w:tr w:rsidR="00831134" w:rsidRPr="00831134" w:rsidTr="00831134">
        <w:trPr>
          <w:trHeight w:val="3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 / 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$3.000.000 / 75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$5.000.000 / 150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$10.000.000 / 200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 </w:t>
            </w:r>
          </w:p>
        </w:tc>
      </w:tr>
    </w:tbl>
    <w:p w:rsidR="00701D3D" w:rsidRPr="00701D3D" w:rsidRDefault="00701D3D" w:rsidP="00701D3D">
      <w:pPr>
        <w:rPr>
          <w:rFonts w:eastAsia="Arial"/>
        </w:rPr>
      </w:pPr>
    </w:p>
    <w:p w:rsidR="00566ADE" w:rsidRDefault="00566ADE" w:rsidP="00930BDB">
      <w:pPr>
        <w:jc w:val="both"/>
        <w:rPr>
          <w:rFonts w:ascii="Arial" w:hAnsi="Arial" w:cs="Arial"/>
          <w:b/>
          <w:sz w:val="20"/>
          <w:szCs w:val="20"/>
        </w:rPr>
      </w:pPr>
      <w:bookmarkStart w:id="3" w:name="_1fob9te" w:colFirst="0" w:colLast="0"/>
      <w:bookmarkEnd w:id="3"/>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863EAC" w:rsidRDefault="00863EAC">
      <w:pPr>
        <w:rPr>
          <w:rFonts w:ascii="Arial" w:eastAsia="Arial" w:hAnsi="Arial" w:cs="Arial"/>
          <w:b/>
          <w:sz w:val="20"/>
          <w:szCs w:val="20"/>
        </w:rPr>
      </w:pPr>
    </w:p>
    <w:p w:rsidR="000B3847" w:rsidRDefault="000B3847">
      <w:pPr>
        <w:rPr>
          <w:rFonts w:ascii="Arial" w:eastAsia="Arial" w:hAnsi="Arial" w:cs="Arial"/>
          <w:b/>
          <w:sz w:val="20"/>
          <w:szCs w:val="20"/>
        </w:rPr>
      </w:pPr>
      <w:r>
        <w:rPr>
          <w:rFonts w:ascii="Arial" w:eastAsia="Arial" w:hAnsi="Arial" w:cs="Arial"/>
          <w:b/>
          <w:sz w:val="20"/>
          <w:szCs w:val="20"/>
        </w:rPr>
        <w:br w:type="page"/>
      </w:r>
    </w:p>
    <w:p w:rsidR="00A21A77" w:rsidRPr="00883068" w:rsidRDefault="00344F9E" w:rsidP="003E71ED">
      <w:pPr>
        <w:jc w:val="center"/>
        <w:rPr>
          <w:rFonts w:ascii="Arial" w:eastAsia="Arial" w:hAnsi="Arial" w:cs="Arial"/>
          <w:b/>
          <w:sz w:val="20"/>
          <w:szCs w:val="20"/>
        </w:rPr>
      </w:pPr>
      <w:r w:rsidRPr="00883068">
        <w:rPr>
          <w:rFonts w:ascii="Arial" w:eastAsia="Arial" w:hAnsi="Arial" w:cs="Arial"/>
          <w:b/>
          <w:sz w:val="20"/>
          <w:szCs w:val="20"/>
        </w:rPr>
        <w:lastRenderedPageBreak/>
        <w:t>GRUPO II</w:t>
      </w:r>
    </w:p>
    <w:p w:rsidR="00A21A77" w:rsidRDefault="00A21A77">
      <w:pPr>
        <w:rPr>
          <w:rFonts w:ascii="Arial" w:eastAsia="Arial" w:hAnsi="Arial" w:cs="Arial"/>
          <w:sz w:val="20"/>
          <w:szCs w:val="20"/>
        </w:rPr>
      </w:pPr>
      <w:bookmarkStart w:id="4" w:name="_3znysh7" w:colFirst="0" w:colLast="0"/>
      <w:bookmarkEnd w:id="4"/>
    </w:p>
    <w:p w:rsidR="003E71ED" w:rsidRPr="00883068" w:rsidRDefault="003E71ED">
      <w:pPr>
        <w:rPr>
          <w:rFonts w:ascii="Arial" w:eastAsia="Arial" w:hAnsi="Arial" w:cs="Arial"/>
          <w:sz w:val="20"/>
          <w:szCs w:val="20"/>
        </w:rPr>
      </w:pPr>
    </w:p>
    <w:p w:rsidR="00A21A77" w:rsidRPr="00342CB2" w:rsidRDefault="00344F9E" w:rsidP="00863EAC">
      <w:pPr>
        <w:jc w:val="both"/>
        <w:rPr>
          <w:rFonts w:ascii="Arial" w:eastAsia="Arial" w:hAnsi="Arial" w:cs="Arial"/>
          <w:b/>
          <w:sz w:val="20"/>
          <w:szCs w:val="20"/>
        </w:rPr>
      </w:pPr>
      <w:bookmarkStart w:id="5" w:name="_2et92p0" w:colFirst="0" w:colLast="0"/>
      <w:bookmarkEnd w:id="5"/>
      <w:r w:rsidRPr="00342CB2">
        <w:rPr>
          <w:rFonts w:ascii="Arial" w:eastAsia="Arial" w:hAnsi="Arial" w:cs="Arial"/>
          <w:b/>
          <w:sz w:val="20"/>
          <w:szCs w:val="20"/>
        </w:rPr>
        <w:t>2.1 Pólizas de Accidentes Personales</w:t>
      </w:r>
      <w:r w:rsidR="006C64F8" w:rsidRPr="00342CB2">
        <w:rPr>
          <w:rFonts w:ascii="Arial" w:eastAsia="Arial" w:hAnsi="Arial" w:cs="Arial"/>
          <w:b/>
          <w:sz w:val="20"/>
          <w:szCs w:val="20"/>
        </w:rPr>
        <w:t xml:space="preserve"> Deportistas</w:t>
      </w:r>
    </w:p>
    <w:p w:rsidR="00701D3D" w:rsidRDefault="00701D3D" w:rsidP="00863EAC">
      <w:pPr>
        <w:jc w:val="both"/>
        <w:rPr>
          <w:rFonts w:ascii="Arial" w:eastAsia="Arial" w:hAnsi="Arial" w:cs="Arial"/>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37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Condiciones Técnicas Complementarias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300 Puntos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602"/>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Internacional de accidentes o muerte por cualquier causa</w:t>
            </w:r>
            <w:r w:rsidRPr="00831134">
              <w:rPr>
                <w:rFonts w:ascii="Arial" w:hAnsi="Arial" w:cs="Arial"/>
                <w:color w:val="auto"/>
                <w:sz w:val="20"/>
                <w:szCs w:val="20"/>
              </w:rPr>
              <w:t>. Quien ofrezca esta cobertura para la vigencia a contratar, obtendrá el mayor puntaje, los demás de forma proporcional. Limitada al valor asegurado otorgado para cada amparo, opera por reembolso.</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10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Preexistencias para muerte por cualquier causa</w:t>
            </w:r>
            <w:r w:rsidRPr="00831134">
              <w:rPr>
                <w:rFonts w:ascii="Arial" w:hAnsi="Arial" w:cs="Arial"/>
                <w:color w:val="auto"/>
                <w:sz w:val="20"/>
                <w:szCs w:val="20"/>
              </w:rPr>
              <w:t>. Quien ofrezca esta cobertura para la vigencia a contratar, adicional a la obligación de las condiciones obligatorias de amparar la muerte por cualquier causa durante la vigencia, quien otorgue cobertura a muerte por cualquier causa con retroactividad ilimitada,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15"/>
        </w:trPr>
        <w:tc>
          <w:tcPr>
            <w:tcW w:w="49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r>
    </w:tbl>
    <w:p w:rsidR="003E71ED" w:rsidRDefault="003E71ED">
      <w:pPr>
        <w:rPr>
          <w:rFonts w:ascii="Arial" w:eastAsia="Arial" w:hAnsi="Arial" w:cs="Arial"/>
          <w:b/>
          <w:sz w:val="20"/>
          <w:szCs w:val="20"/>
        </w:rPr>
      </w:pPr>
    </w:p>
    <w:p w:rsidR="00ED4F4C" w:rsidRPr="00342CB2" w:rsidRDefault="00CB0AEA">
      <w:pPr>
        <w:rPr>
          <w:rFonts w:ascii="Arial" w:eastAsia="Arial" w:hAnsi="Arial" w:cs="Arial"/>
          <w:b/>
          <w:sz w:val="20"/>
          <w:szCs w:val="20"/>
        </w:rPr>
      </w:pPr>
      <w:r w:rsidRPr="00342CB2">
        <w:rPr>
          <w:rFonts w:ascii="Arial" w:eastAsia="Arial" w:hAnsi="Arial" w:cs="Arial"/>
          <w:b/>
          <w:sz w:val="20"/>
          <w:szCs w:val="20"/>
        </w:rPr>
        <w:t xml:space="preserve">2.2 Pólizas de Accidentes Personales Riesgo </w:t>
      </w:r>
      <w:r w:rsidR="001745FA" w:rsidRPr="00342CB2">
        <w:rPr>
          <w:rFonts w:ascii="Arial" w:eastAsia="Arial" w:hAnsi="Arial" w:cs="Arial"/>
          <w:b/>
          <w:sz w:val="20"/>
          <w:szCs w:val="20"/>
        </w:rPr>
        <w:t>Biológico</w:t>
      </w:r>
    </w:p>
    <w:p w:rsidR="0033676D" w:rsidRDefault="0033676D">
      <w:pPr>
        <w:rPr>
          <w:rFonts w:ascii="Arial" w:eastAsia="Arial" w:hAnsi="Arial" w:cs="Arial"/>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37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Condiciones Técnicas Complementarias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602"/>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Internacional de accidentes o muerte por cualquier causa</w:t>
            </w:r>
            <w:r w:rsidRPr="00831134">
              <w:rPr>
                <w:rFonts w:ascii="Arial" w:hAnsi="Arial" w:cs="Arial"/>
                <w:color w:val="auto"/>
                <w:sz w:val="20"/>
                <w:szCs w:val="20"/>
              </w:rPr>
              <w:t>. Quien ofrezca esta cobertura para la vigencia a contratar, obtendrá el mayor puntaje, los demás de forma proporcional. Limitada al valor asegurado otorgado para cada amparo, opera por reembolso.</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22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Preexistencias para muerte por cualquier causa</w:t>
            </w:r>
            <w:r w:rsidRPr="00831134">
              <w:rPr>
                <w:rFonts w:ascii="Arial" w:hAnsi="Arial" w:cs="Arial"/>
                <w:color w:val="auto"/>
                <w:sz w:val="20"/>
                <w:szCs w:val="20"/>
              </w:rPr>
              <w:t>. Quien ofrezca esta cobertura para la vigencia a contratar, adicional a la obligación de las condiciones obligatorias de amparar la muerte por cualquier causa durante la vigencia, quien otorgue cobertura a muerte por cualquier causa con retroactividad ilimitada,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15"/>
        </w:trPr>
        <w:tc>
          <w:tcPr>
            <w:tcW w:w="49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c>
          <w:tcPr>
            <w:tcW w:w="201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r>
    </w:tbl>
    <w:p w:rsidR="000B3847" w:rsidRDefault="000B3847">
      <w:pPr>
        <w:rPr>
          <w:rFonts w:ascii="Arial" w:hAnsi="Arial" w:cs="Arial"/>
          <w:sz w:val="20"/>
          <w:szCs w:val="20"/>
        </w:rPr>
      </w:pPr>
    </w:p>
    <w:p w:rsidR="001745FA" w:rsidRPr="00342CB2" w:rsidRDefault="001745FA" w:rsidP="001745FA">
      <w:pPr>
        <w:rPr>
          <w:rFonts w:ascii="Arial" w:eastAsia="Arial" w:hAnsi="Arial" w:cs="Arial"/>
          <w:b/>
          <w:sz w:val="20"/>
          <w:szCs w:val="20"/>
        </w:rPr>
      </w:pPr>
      <w:r w:rsidRPr="00342CB2">
        <w:rPr>
          <w:rFonts w:ascii="Arial" w:eastAsia="Arial" w:hAnsi="Arial" w:cs="Arial"/>
          <w:b/>
          <w:sz w:val="20"/>
          <w:szCs w:val="20"/>
        </w:rPr>
        <w:t>2.3 Pólizas de Accidentes Personales Estudiantil</w:t>
      </w:r>
    </w:p>
    <w:p w:rsidR="00342CB2" w:rsidRDefault="00342CB2" w:rsidP="001745FA">
      <w:pPr>
        <w:rPr>
          <w:rFonts w:ascii="Arial" w:eastAsia="Arial" w:hAnsi="Arial" w:cs="Arial"/>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37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300 Puntos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602"/>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Internacional de accidentes o muerte por cualquier causa</w:t>
            </w:r>
            <w:r w:rsidRPr="00831134">
              <w:rPr>
                <w:rFonts w:ascii="Arial" w:hAnsi="Arial" w:cs="Arial"/>
                <w:color w:val="auto"/>
                <w:sz w:val="20"/>
                <w:szCs w:val="20"/>
              </w:rPr>
              <w:t>. Quien ofrezca esta cobertura para la vigencia a contratar, obtendrá el mayor puntaje, los demás de forma proporcional. Limitada al valor asegurado otorgado para cada amparo, opera por reembolso.</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19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Preexistencias para muerte por cualquier causa</w:t>
            </w:r>
            <w:r w:rsidRPr="00831134">
              <w:rPr>
                <w:rFonts w:ascii="Arial" w:hAnsi="Arial" w:cs="Arial"/>
                <w:color w:val="auto"/>
                <w:sz w:val="20"/>
                <w:szCs w:val="20"/>
              </w:rPr>
              <w:t>. Quien ofrezca esta cobertura para la vigencia a contratar, adicional a la obligación de las condiciones obligatorias de amparar la muerte por cualquier causa durante la vigencia, quien otorgue cobertura a muerte por cualquier causa con retroactividad ilimitada,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bl>
    <w:p w:rsidR="00342CB2" w:rsidRDefault="00342CB2" w:rsidP="001745FA">
      <w:pPr>
        <w:rPr>
          <w:rFonts w:ascii="Arial" w:eastAsia="Arial" w:hAnsi="Arial" w:cs="Arial"/>
          <w:sz w:val="20"/>
          <w:szCs w:val="20"/>
        </w:rPr>
      </w:pPr>
    </w:p>
    <w:p w:rsidR="00C57EC9" w:rsidRDefault="00C57EC9" w:rsidP="001745FA">
      <w:pPr>
        <w:rPr>
          <w:rFonts w:ascii="Arial" w:eastAsia="Arial" w:hAnsi="Arial" w:cs="Arial"/>
          <w:sz w:val="20"/>
          <w:szCs w:val="20"/>
        </w:rPr>
      </w:pPr>
    </w:p>
    <w:p w:rsidR="00C57EC9" w:rsidRDefault="00C57EC9" w:rsidP="001745FA">
      <w:pPr>
        <w:rPr>
          <w:rFonts w:ascii="Arial" w:eastAsia="Arial" w:hAnsi="Arial" w:cs="Arial"/>
          <w:sz w:val="20"/>
          <w:szCs w:val="20"/>
        </w:rPr>
      </w:pPr>
    </w:p>
    <w:p w:rsidR="00A21A77" w:rsidRDefault="001745FA">
      <w:pPr>
        <w:rPr>
          <w:rFonts w:ascii="Arial" w:eastAsia="Arial" w:hAnsi="Arial" w:cs="Arial"/>
          <w:b/>
          <w:sz w:val="20"/>
          <w:szCs w:val="20"/>
        </w:rPr>
      </w:pPr>
      <w:r>
        <w:rPr>
          <w:rFonts w:ascii="Arial" w:eastAsia="Arial" w:hAnsi="Arial" w:cs="Arial"/>
          <w:b/>
          <w:sz w:val="20"/>
          <w:szCs w:val="20"/>
        </w:rPr>
        <w:t>2.4</w:t>
      </w:r>
      <w:r w:rsidR="00344F9E" w:rsidRPr="00883068">
        <w:rPr>
          <w:rFonts w:ascii="Arial" w:eastAsia="Arial" w:hAnsi="Arial" w:cs="Arial"/>
          <w:b/>
          <w:sz w:val="20"/>
          <w:szCs w:val="20"/>
        </w:rPr>
        <w:t xml:space="preserve">  Póliza de Vida Grupo No Contributivo</w:t>
      </w:r>
    </w:p>
    <w:p w:rsidR="00562A9E" w:rsidRDefault="00562A9E">
      <w:pPr>
        <w:rPr>
          <w:rFonts w:ascii="Arial" w:eastAsia="Arial" w:hAnsi="Arial" w:cs="Arial"/>
          <w:b/>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70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300 Puntos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tc>
      </w:tr>
      <w:tr w:rsidR="00831134" w:rsidRPr="00831134" w:rsidTr="00831134">
        <w:trPr>
          <w:trHeight w:val="1455"/>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Gastos Médicos Por Accidentes Personales: </w:t>
            </w:r>
            <w:r w:rsidRPr="00831134">
              <w:rPr>
                <w:rFonts w:ascii="Arial" w:hAnsi="Arial" w:cs="Arial"/>
                <w:color w:val="auto"/>
                <w:sz w:val="20"/>
                <w:szCs w:val="20"/>
              </w:rPr>
              <w:t>Quien ofrezca el mayor límite asegurado adicional al básico obligatorio de $10.000.000 y sin que el valor adicional ofrecido sea superior a $2.000.000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r>
      <w:tr w:rsidR="00831134" w:rsidRPr="00831134" w:rsidTr="00831134">
        <w:trPr>
          <w:trHeight w:val="315"/>
        </w:trPr>
        <w:tc>
          <w:tcPr>
            <w:tcW w:w="49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 </w:t>
            </w:r>
          </w:p>
        </w:tc>
        <w:tc>
          <w:tcPr>
            <w:tcW w:w="201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 </w:t>
            </w:r>
          </w:p>
        </w:tc>
      </w:tr>
    </w:tbl>
    <w:p w:rsidR="00562A9E" w:rsidRPr="00883068" w:rsidRDefault="00562A9E">
      <w:pPr>
        <w:rPr>
          <w:rFonts w:ascii="Arial" w:eastAsia="Arial" w:hAnsi="Arial" w:cs="Arial"/>
          <w:b/>
          <w:sz w:val="20"/>
          <w:szCs w:val="20"/>
        </w:rPr>
      </w:pPr>
    </w:p>
    <w:p w:rsidR="003504E5" w:rsidRDefault="003504E5">
      <w:pPr>
        <w:rPr>
          <w:rFonts w:ascii="Arial" w:hAnsi="Arial" w:cs="Arial"/>
          <w:sz w:val="20"/>
          <w:szCs w:val="20"/>
        </w:rPr>
      </w:pPr>
      <w:r>
        <w:rPr>
          <w:rFonts w:ascii="Arial" w:hAnsi="Arial" w:cs="Arial"/>
          <w:sz w:val="20"/>
          <w:szCs w:val="20"/>
        </w:rPr>
        <w:br w:type="page"/>
      </w:r>
    </w:p>
    <w:p w:rsidR="00A21A77" w:rsidRPr="00883068" w:rsidRDefault="00A4129F" w:rsidP="003E71ED">
      <w:pPr>
        <w:jc w:val="center"/>
        <w:rPr>
          <w:rFonts w:ascii="Arial" w:eastAsia="Arial" w:hAnsi="Arial" w:cs="Arial"/>
          <w:b/>
          <w:sz w:val="20"/>
          <w:szCs w:val="20"/>
        </w:rPr>
      </w:pPr>
      <w:bookmarkStart w:id="6" w:name="_tyjcwt" w:colFirst="0" w:colLast="0"/>
      <w:bookmarkEnd w:id="6"/>
      <w:r>
        <w:rPr>
          <w:rFonts w:ascii="Arial" w:eastAsia="Arial" w:hAnsi="Arial" w:cs="Arial"/>
          <w:b/>
          <w:sz w:val="20"/>
          <w:szCs w:val="20"/>
        </w:rPr>
        <w:lastRenderedPageBreak/>
        <w:t>G</w:t>
      </w:r>
      <w:r w:rsidR="00344F9E" w:rsidRPr="00883068">
        <w:rPr>
          <w:rFonts w:ascii="Arial" w:eastAsia="Arial" w:hAnsi="Arial" w:cs="Arial"/>
          <w:b/>
          <w:sz w:val="20"/>
          <w:szCs w:val="20"/>
        </w:rPr>
        <w:t>RUPO III</w:t>
      </w:r>
    </w:p>
    <w:p w:rsidR="00A21A77" w:rsidRPr="00883068" w:rsidRDefault="00A21A77">
      <w:pPr>
        <w:rPr>
          <w:rFonts w:ascii="Arial" w:eastAsia="Arial" w:hAnsi="Arial" w:cs="Arial"/>
          <w:b/>
          <w:sz w:val="20"/>
          <w:szCs w:val="20"/>
        </w:rPr>
      </w:pPr>
    </w:p>
    <w:p w:rsidR="00A21A77" w:rsidRDefault="00344F9E">
      <w:pPr>
        <w:rPr>
          <w:rFonts w:ascii="Arial" w:eastAsia="Arial" w:hAnsi="Arial" w:cs="Arial"/>
          <w:b/>
          <w:sz w:val="20"/>
          <w:szCs w:val="20"/>
        </w:rPr>
      </w:pPr>
      <w:bookmarkStart w:id="7" w:name="_3dy6vkm" w:colFirst="0" w:colLast="0"/>
      <w:bookmarkEnd w:id="7"/>
      <w:r w:rsidRPr="00883068">
        <w:rPr>
          <w:rFonts w:ascii="Arial" w:eastAsia="Arial" w:hAnsi="Arial" w:cs="Arial"/>
          <w:b/>
          <w:sz w:val="20"/>
          <w:szCs w:val="20"/>
        </w:rPr>
        <w:t xml:space="preserve">3.1 Póliza de Infidelidad y Riesgos Financieros </w:t>
      </w:r>
    </w:p>
    <w:p w:rsidR="00A4129F" w:rsidRDefault="00A4129F">
      <w:pPr>
        <w:rPr>
          <w:rFonts w:ascii="Arial" w:eastAsia="Arial" w:hAnsi="Arial" w:cs="Arial"/>
          <w:b/>
          <w:sz w:val="20"/>
          <w:szCs w:val="20"/>
        </w:rPr>
      </w:pPr>
    </w:p>
    <w:tbl>
      <w:tblPr>
        <w:tblW w:w="9493" w:type="dxa"/>
        <w:tblCellMar>
          <w:left w:w="70" w:type="dxa"/>
          <w:right w:w="70" w:type="dxa"/>
        </w:tblCellMar>
        <w:tblLook w:val="04A0" w:firstRow="1" w:lastRow="0" w:firstColumn="1" w:lastColumn="0" w:noHBand="0" w:noVBand="1"/>
      </w:tblPr>
      <w:tblGrid>
        <w:gridCol w:w="3580"/>
        <w:gridCol w:w="1900"/>
        <w:gridCol w:w="1200"/>
        <w:gridCol w:w="1200"/>
        <w:gridCol w:w="1613"/>
      </w:tblGrid>
      <w:tr w:rsidR="00831134" w:rsidRPr="00831134" w:rsidTr="00831134">
        <w:trPr>
          <w:trHeight w:val="1020"/>
        </w:trPr>
        <w:tc>
          <w:tcPr>
            <w:tcW w:w="54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Se le asignan puntos (SI/NO) </w:t>
            </w:r>
          </w:p>
        </w:tc>
        <w:tc>
          <w:tcPr>
            <w:tcW w:w="1613"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Puntos Asignados</w:t>
            </w:r>
          </w:p>
        </w:tc>
      </w:tr>
      <w:tr w:rsidR="00831134" w:rsidRPr="00831134" w:rsidTr="00831134">
        <w:trPr>
          <w:trHeight w:val="1500"/>
        </w:trPr>
        <w:tc>
          <w:tcPr>
            <w:tcW w:w="5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Límite adicional de valor asegurado al básico exigido de $5.500.000.00 por evento $11.000.000.000 vigencia. </w:t>
            </w:r>
            <w:r w:rsidRPr="00831134">
              <w:rPr>
                <w:rFonts w:ascii="Arial" w:hAnsi="Arial" w:cs="Arial"/>
                <w:color w:val="auto"/>
                <w:sz w:val="20"/>
                <w:szCs w:val="20"/>
              </w:rPr>
              <w:t xml:space="preserve">Se califica el límite adicional </w:t>
            </w:r>
            <w:r w:rsidRPr="00831134">
              <w:rPr>
                <w:rFonts w:ascii="Arial" w:hAnsi="Arial" w:cs="Arial"/>
                <w:color w:val="auto"/>
                <w:sz w:val="20"/>
                <w:szCs w:val="20"/>
                <w:u w:val="single"/>
              </w:rPr>
              <w:t>por evento</w:t>
            </w:r>
            <w:r w:rsidRPr="00831134">
              <w:rPr>
                <w:rFonts w:ascii="Arial" w:hAnsi="Arial" w:cs="Arial"/>
                <w:color w:val="auto"/>
                <w:sz w:val="20"/>
                <w:szCs w:val="20"/>
              </w:rPr>
              <w:t>/ vigencia sin cobro de prima adicional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200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613"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831134">
              <w:rPr>
                <w:rFonts w:ascii="Calibri" w:hAnsi="Calibri" w:cs="Calibri"/>
                <w:sz w:val="22"/>
                <w:szCs w:val="22"/>
              </w:rPr>
              <w:t> </w:t>
            </w:r>
          </w:p>
        </w:tc>
      </w:tr>
      <w:tr w:rsidR="00831134" w:rsidRPr="00831134" w:rsidTr="00831134">
        <w:trPr>
          <w:trHeight w:val="495"/>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675"/>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$2.000.000.000 evento / $4.000.000.000 vigencia</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555"/>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$2.500.000.000 evento / $5.000.000.000 vigencia</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630"/>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$3.000.000.000 evento / $6.000.000.000 vigencia</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200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1710"/>
        </w:trPr>
        <w:tc>
          <w:tcPr>
            <w:tcW w:w="5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 xml:space="preserve">Extensión de cobertura de actos de organizaciones subversivas, incluido el terrorismo, para títulos valores: </w:t>
            </w:r>
            <w:r w:rsidRPr="00831134">
              <w:rPr>
                <w:rFonts w:ascii="Arial" w:hAnsi="Arial" w:cs="Arial"/>
                <w:color w:val="auto"/>
                <w:sz w:val="20"/>
                <w:szCs w:val="20"/>
              </w:rPr>
              <w:t xml:space="preserve">Quien ofrezca un </w:t>
            </w:r>
            <w:proofErr w:type="spellStart"/>
            <w:r w:rsidRPr="00831134">
              <w:rPr>
                <w:rFonts w:ascii="Arial" w:hAnsi="Arial" w:cs="Arial"/>
                <w:color w:val="auto"/>
                <w:sz w:val="20"/>
                <w:szCs w:val="20"/>
              </w:rPr>
              <w:t>sublímite</w:t>
            </w:r>
            <w:proofErr w:type="spellEnd"/>
            <w:r w:rsidRPr="00831134">
              <w:rPr>
                <w:rFonts w:ascii="Arial" w:hAnsi="Arial" w:cs="Arial"/>
                <w:color w:val="auto"/>
                <w:sz w:val="20"/>
                <w:szCs w:val="20"/>
              </w:rPr>
              <w:t xml:space="preserve"> adicional al obligatorio  de QUINIENTOS MILLONES DE PESOS ($500.000.000), toda y cada pérdida obtendrá el puntaje adicional, los demás proporcionalmente.</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100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613"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r>
      <w:tr w:rsidR="00831134" w:rsidRPr="00831134" w:rsidTr="00831134">
        <w:trPr>
          <w:trHeight w:val="300"/>
        </w:trPr>
        <w:tc>
          <w:tcPr>
            <w:tcW w:w="54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613"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r>
    </w:tbl>
    <w:p w:rsidR="00A21A77" w:rsidRPr="00883068" w:rsidRDefault="00A21A77">
      <w:pPr>
        <w:rPr>
          <w:rFonts w:ascii="Arial" w:hAnsi="Arial" w:cs="Arial"/>
          <w:sz w:val="20"/>
          <w:szCs w:val="20"/>
        </w:rPr>
      </w:pPr>
    </w:p>
    <w:p w:rsidR="00785EDC" w:rsidRDefault="00785EDC">
      <w:pPr>
        <w:jc w:val="both"/>
        <w:rPr>
          <w:rFonts w:ascii="Arial" w:eastAsia="Arial" w:hAnsi="Arial" w:cs="Arial"/>
          <w:sz w:val="20"/>
          <w:szCs w:val="20"/>
        </w:rPr>
      </w:pPr>
    </w:p>
    <w:p w:rsidR="00D51B61" w:rsidRDefault="00D51B61">
      <w:pPr>
        <w:rPr>
          <w:rFonts w:ascii="Arial" w:eastAsia="Arial" w:hAnsi="Arial" w:cs="Arial"/>
          <w:sz w:val="20"/>
          <w:szCs w:val="20"/>
        </w:rPr>
      </w:pPr>
      <w:r>
        <w:rPr>
          <w:rFonts w:ascii="Arial" w:eastAsia="Arial" w:hAnsi="Arial" w:cs="Arial"/>
          <w:sz w:val="20"/>
          <w:szCs w:val="20"/>
        </w:rPr>
        <w:br w:type="page"/>
      </w:r>
    </w:p>
    <w:p w:rsidR="00A21A77" w:rsidRPr="00883068" w:rsidRDefault="00344F9E" w:rsidP="003E71ED">
      <w:pPr>
        <w:jc w:val="center"/>
        <w:rPr>
          <w:rFonts w:ascii="Arial" w:eastAsia="Arial" w:hAnsi="Arial" w:cs="Arial"/>
          <w:b/>
          <w:sz w:val="20"/>
          <w:szCs w:val="20"/>
        </w:rPr>
      </w:pPr>
      <w:bookmarkStart w:id="8" w:name="_1t3h5sf" w:colFirst="0" w:colLast="0"/>
      <w:bookmarkEnd w:id="8"/>
      <w:r w:rsidRPr="00883068">
        <w:rPr>
          <w:rFonts w:ascii="Arial" w:eastAsia="Arial" w:hAnsi="Arial" w:cs="Arial"/>
          <w:b/>
          <w:sz w:val="20"/>
          <w:szCs w:val="20"/>
        </w:rPr>
        <w:lastRenderedPageBreak/>
        <w:t>GRUPO IV</w:t>
      </w:r>
    </w:p>
    <w:p w:rsidR="00A21A77" w:rsidRPr="00883068" w:rsidRDefault="00A21A77">
      <w:pPr>
        <w:rPr>
          <w:rFonts w:ascii="Arial" w:eastAsia="Arial" w:hAnsi="Arial" w:cs="Arial"/>
          <w:b/>
          <w:sz w:val="20"/>
          <w:szCs w:val="20"/>
        </w:rPr>
      </w:pPr>
    </w:p>
    <w:p w:rsidR="00A21A77" w:rsidRDefault="00344F9E">
      <w:pPr>
        <w:rPr>
          <w:rFonts w:ascii="Arial" w:eastAsia="Arial" w:hAnsi="Arial" w:cs="Arial"/>
          <w:b/>
          <w:sz w:val="20"/>
          <w:szCs w:val="20"/>
        </w:rPr>
      </w:pPr>
      <w:bookmarkStart w:id="9" w:name="_4d34og8" w:colFirst="0" w:colLast="0"/>
      <w:bookmarkEnd w:id="9"/>
      <w:r w:rsidRPr="00883068">
        <w:rPr>
          <w:rFonts w:ascii="Arial" w:eastAsia="Arial" w:hAnsi="Arial" w:cs="Arial"/>
          <w:b/>
          <w:sz w:val="20"/>
          <w:szCs w:val="20"/>
        </w:rPr>
        <w:t xml:space="preserve">4.1 Póliza de Responsabilidad Civil Servidores Públicos </w:t>
      </w:r>
    </w:p>
    <w:p w:rsidR="003C4DD1" w:rsidRDefault="003C4DD1">
      <w:pPr>
        <w:rPr>
          <w:rFonts w:ascii="Arial" w:eastAsia="Arial" w:hAnsi="Arial" w:cs="Arial"/>
          <w:b/>
          <w:sz w:val="20"/>
          <w:szCs w:val="20"/>
        </w:rPr>
      </w:pPr>
    </w:p>
    <w:tbl>
      <w:tblPr>
        <w:tblW w:w="9380" w:type="dxa"/>
        <w:tblCellMar>
          <w:left w:w="70" w:type="dxa"/>
          <w:right w:w="70" w:type="dxa"/>
        </w:tblCellMar>
        <w:tblLook w:val="04A0" w:firstRow="1" w:lastRow="0" w:firstColumn="1" w:lastColumn="0" w:noHBand="0" w:noVBand="1"/>
      </w:tblPr>
      <w:tblGrid>
        <w:gridCol w:w="3280"/>
        <w:gridCol w:w="2500"/>
        <w:gridCol w:w="1200"/>
        <w:gridCol w:w="1200"/>
        <w:gridCol w:w="1200"/>
      </w:tblGrid>
      <w:tr w:rsidR="00831134" w:rsidRPr="00831134" w:rsidTr="00831134">
        <w:trPr>
          <w:trHeight w:val="705"/>
        </w:trPr>
        <w:tc>
          <w:tcPr>
            <w:tcW w:w="578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00"/>
        </w:trPr>
        <w:tc>
          <w:tcPr>
            <w:tcW w:w="5780" w:type="dxa"/>
            <w:gridSpan w:val="2"/>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095"/>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Ofrecimiento de </w:t>
            </w:r>
            <w:proofErr w:type="spellStart"/>
            <w:r w:rsidRPr="00831134">
              <w:rPr>
                <w:rFonts w:ascii="Arial" w:hAnsi="Arial" w:cs="Arial"/>
                <w:b/>
                <w:bCs/>
                <w:color w:val="auto"/>
                <w:sz w:val="20"/>
                <w:szCs w:val="20"/>
              </w:rPr>
              <w:t>Sublímite</w:t>
            </w:r>
            <w:proofErr w:type="spellEnd"/>
            <w:r w:rsidRPr="00831134">
              <w:rPr>
                <w:rFonts w:ascii="Arial" w:hAnsi="Arial" w:cs="Arial"/>
                <w:b/>
                <w:bCs/>
                <w:color w:val="auto"/>
                <w:sz w:val="20"/>
                <w:szCs w:val="20"/>
              </w:rPr>
              <w:t xml:space="preserve"> adicional al básico de $2.450.000.000, para el amparo de Gastos de Defensa. </w:t>
            </w:r>
            <w:r w:rsidRPr="00831134">
              <w:rPr>
                <w:rFonts w:ascii="Arial" w:hAnsi="Arial" w:cs="Arial"/>
                <w:color w:val="auto"/>
                <w:sz w:val="20"/>
                <w:szCs w:val="20"/>
              </w:rPr>
              <w:t xml:space="preserve">Se califica el </w:t>
            </w:r>
            <w:proofErr w:type="spellStart"/>
            <w:r w:rsidRPr="00831134">
              <w:rPr>
                <w:rFonts w:ascii="Arial" w:hAnsi="Arial" w:cs="Arial"/>
                <w:color w:val="auto"/>
                <w:sz w:val="20"/>
                <w:szCs w:val="20"/>
              </w:rPr>
              <w:t>sublímite</w:t>
            </w:r>
            <w:proofErr w:type="spellEnd"/>
            <w:r w:rsidRPr="00831134">
              <w:rPr>
                <w:rFonts w:ascii="Arial" w:hAnsi="Arial" w:cs="Arial"/>
                <w:color w:val="auto"/>
                <w:sz w:val="20"/>
                <w:szCs w:val="20"/>
              </w:rPr>
              <w:t xml:space="preserv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4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$50.000.000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$150.000.000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840"/>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Ofrecimiento de </w:t>
            </w:r>
            <w:proofErr w:type="spellStart"/>
            <w:r w:rsidRPr="00831134">
              <w:rPr>
                <w:rFonts w:ascii="Arial" w:hAnsi="Arial" w:cs="Arial"/>
                <w:b/>
                <w:bCs/>
                <w:color w:val="auto"/>
                <w:sz w:val="20"/>
                <w:szCs w:val="20"/>
              </w:rPr>
              <w:t>sublímites</w:t>
            </w:r>
            <w:proofErr w:type="spellEnd"/>
            <w:r w:rsidRPr="00831134">
              <w:rPr>
                <w:rFonts w:ascii="Arial" w:hAnsi="Arial" w:cs="Arial"/>
                <w:b/>
                <w:bCs/>
                <w:color w:val="auto"/>
                <w:sz w:val="20"/>
                <w:szCs w:val="20"/>
              </w:rPr>
              <w:t xml:space="preserve"> de la Cobertura de Gastos de Defensa, adicionales a los básicos Obligatorios, exigidos para cada uno de los procesos y etapas.</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1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$15.000.000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1905"/>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Gastos de defensa para funcionarios no incluidos dentro de la relación de cargos a asegurar. </w:t>
            </w:r>
            <w:r w:rsidRPr="00831134">
              <w:rPr>
                <w:rFonts w:ascii="Arial" w:hAnsi="Arial" w:cs="Arial"/>
                <w:color w:val="auto"/>
                <w:sz w:val="20"/>
                <w:szCs w:val="20"/>
              </w:rPr>
              <w:t xml:space="preserve">GASTOS DE DEFENSA con </w:t>
            </w:r>
            <w:proofErr w:type="spellStart"/>
            <w:r w:rsidRPr="00831134">
              <w:rPr>
                <w:rFonts w:ascii="Arial" w:hAnsi="Arial" w:cs="Arial"/>
                <w:color w:val="auto"/>
                <w:sz w:val="20"/>
                <w:szCs w:val="20"/>
              </w:rPr>
              <w:t>sublímite</w:t>
            </w:r>
            <w:proofErr w:type="spellEnd"/>
            <w:r w:rsidRPr="00831134">
              <w:rPr>
                <w:rFonts w:ascii="Arial" w:hAnsi="Arial" w:cs="Arial"/>
                <w:color w:val="auto"/>
                <w:sz w:val="20"/>
                <w:szCs w:val="20"/>
              </w:rPr>
              <w:t xml:space="preserve"> anual de $100.000.000 para los demás cargos de la Entidad que puedan verse afectados por una reclamación pero que NO estén incluidos dentro de la relación de cargos formando parte del valor asegurado del amparo principal de gastos de defensa. Límite por persona: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6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$15.000.000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1650"/>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Extensión de cobertura para gastos de defensa en actos relacionados con la incorrecta contratación de seguros: </w:t>
            </w:r>
            <w:r w:rsidRPr="00831134">
              <w:rPr>
                <w:rFonts w:ascii="Arial" w:hAnsi="Arial" w:cs="Arial"/>
                <w:color w:val="auto"/>
                <w:sz w:val="20"/>
                <w:szCs w:val="20"/>
              </w:rPr>
              <w:t xml:space="preserve">Quien ofrezca el mayor límite asegurado adicional al básico obligatorio sin que sea inferior a $100.000.000 por evento y $10.000.000 por persona, obtendrá el mayor puntaje, los demás de forma proporcional </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1065"/>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Extensión de cobertura</w:t>
            </w:r>
            <w:r w:rsidRPr="00831134">
              <w:rPr>
                <w:rFonts w:ascii="Arial" w:hAnsi="Arial" w:cs="Arial"/>
                <w:color w:val="auto"/>
                <w:sz w:val="20"/>
                <w:szCs w:val="20"/>
              </w:rPr>
              <w:t>. Quien ofrezca el mayor número de m</w:t>
            </w:r>
            <w:r w:rsidR="00BE0CAB">
              <w:rPr>
                <w:rFonts w:ascii="Arial" w:hAnsi="Arial" w:cs="Arial"/>
                <w:color w:val="auto"/>
                <w:sz w:val="20"/>
                <w:szCs w:val="20"/>
              </w:rPr>
              <w:t>eses al básico obligatorio de 18</w:t>
            </w:r>
            <w:r w:rsidRPr="00831134">
              <w:rPr>
                <w:rFonts w:ascii="Arial" w:hAnsi="Arial" w:cs="Arial"/>
                <w:color w:val="auto"/>
                <w:sz w:val="20"/>
                <w:szCs w:val="20"/>
              </w:rPr>
              <w:t xml:space="preserve"> y sin que el número de meses adic</w:t>
            </w:r>
            <w:r w:rsidR="00BE0CAB">
              <w:rPr>
                <w:rFonts w:ascii="Arial" w:hAnsi="Arial" w:cs="Arial"/>
                <w:color w:val="auto"/>
                <w:sz w:val="20"/>
                <w:szCs w:val="20"/>
              </w:rPr>
              <w:t>ional ofrecido sea superior a 18</w:t>
            </w:r>
            <w:r w:rsidRPr="00831134">
              <w:rPr>
                <w:rFonts w:ascii="Arial" w:hAnsi="Arial" w:cs="Arial"/>
                <w:color w:val="auto"/>
                <w:sz w:val="20"/>
                <w:szCs w:val="20"/>
              </w:rPr>
              <w:t xml:space="preserve"> obtendrá el mayor puntaje, los demás de forma proporcional.</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220"/>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lastRenderedPageBreak/>
              <w:t xml:space="preserve">Para acceder a la asignación de puntaje, el ofrecimiento debe contemplar las siguientes condiciones: El proponente deberá señalar en forma expresa el periodo adicional al básico que ofrece. El ofrecimiento debe contemplar los mismos términos señalados en la extensión de cobertura básica, incluido el cobro máximo del 50% de la prima anual ofrecida para este proceso, la cual incluye el total del plazo adicional otorgado en esta condición. </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57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lastRenderedPageBreak/>
              <w:t xml:space="preserve">Total Puntos </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bl>
    <w:p w:rsidR="003C4DD1" w:rsidRDefault="003C4DD1">
      <w:pPr>
        <w:rPr>
          <w:rFonts w:ascii="Arial" w:eastAsia="Arial" w:hAnsi="Arial" w:cs="Arial"/>
          <w:b/>
          <w:sz w:val="20"/>
          <w:szCs w:val="20"/>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4B00B6" w:rsidRDefault="004B00B6">
      <w:pPr>
        <w:tabs>
          <w:tab w:val="left" w:pos="-720"/>
        </w:tabs>
        <w:jc w:val="both"/>
        <w:rPr>
          <w:rFonts w:ascii="Arial" w:eastAsia="Arial" w:hAnsi="Arial" w:cs="Arial"/>
          <w:sz w:val="20"/>
          <w:szCs w:val="20"/>
        </w:rPr>
      </w:pPr>
    </w:p>
    <w:p w:rsidR="00D51B61" w:rsidRDefault="00D51B61">
      <w:pPr>
        <w:rPr>
          <w:rFonts w:ascii="Arial" w:eastAsia="Arial" w:hAnsi="Arial" w:cs="Arial"/>
          <w:sz w:val="20"/>
          <w:szCs w:val="20"/>
        </w:rPr>
      </w:pPr>
      <w:r>
        <w:rPr>
          <w:rFonts w:ascii="Arial" w:eastAsia="Arial" w:hAnsi="Arial" w:cs="Arial"/>
          <w:sz w:val="20"/>
          <w:szCs w:val="20"/>
        </w:rPr>
        <w:br w:type="page"/>
      </w:r>
    </w:p>
    <w:p w:rsidR="00A21A77" w:rsidRPr="00883068" w:rsidRDefault="00344F9E">
      <w:pPr>
        <w:rPr>
          <w:rFonts w:ascii="Arial" w:eastAsia="Arial" w:hAnsi="Arial" w:cs="Arial"/>
          <w:b/>
          <w:sz w:val="20"/>
          <w:szCs w:val="20"/>
        </w:rPr>
      </w:pPr>
      <w:bookmarkStart w:id="10" w:name="_2s8eyo1" w:colFirst="0" w:colLast="0"/>
      <w:bookmarkEnd w:id="10"/>
      <w:r w:rsidRPr="00883068">
        <w:rPr>
          <w:rFonts w:ascii="Arial" w:eastAsia="Arial" w:hAnsi="Arial" w:cs="Arial"/>
          <w:b/>
          <w:sz w:val="20"/>
          <w:szCs w:val="20"/>
        </w:rPr>
        <w:lastRenderedPageBreak/>
        <w:t>GRUPO V</w:t>
      </w:r>
      <w:r w:rsidR="000266A8">
        <w:rPr>
          <w:rFonts w:ascii="Arial" w:eastAsia="Arial" w:hAnsi="Arial" w:cs="Arial"/>
          <w:b/>
          <w:sz w:val="20"/>
          <w:szCs w:val="20"/>
        </w:rPr>
        <w:t xml:space="preserve"> – Seguro Obligatorio Accidentes de Tránsito</w:t>
      </w:r>
    </w:p>
    <w:p w:rsidR="00A21A77" w:rsidRPr="00883068" w:rsidRDefault="00A21A77">
      <w:pPr>
        <w:rPr>
          <w:rFonts w:ascii="Arial" w:eastAsia="Arial" w:hAnsi="Arial" w:cs="Arial"/>
          <w:sz w:val="20"/>
          <w:szCs w:val="20"/>
        </w:rPr>
      </w:pPr>
    </w:p>
    <w:p w:rsidR="0058467A" w:rsidRDefault="00A42AD6" w:rsidP="007E29D2">
      <w:pPr>
        <w:spacing w:after="200" w:line="276" w:lineRule="auto"/>
        <w:rPr>
          <w:rFonts w:ascii="Arial" w:hAnsi="Arial" w:cs="Arial"/>
          <w:sz w:val="20"/>
          <w:szCs w:val="20"/>
        </w:rPr>
      </w:pPr>
      <w:bookmarkStart w:id="11" w:name="_17dp8vu" w:colFirst="0" w:colLast="0"/>
      <w:bookmarkEnd w:id="11"/>
      <w:r>
        <w:rPr>
          <w:rFonts w:ascii="Arial" w:hAnsi="Arial" w:cs="Arial"/>
          <w:sz w:val="20"/>
          <w:szCs w:val="20"/>
        </w:rPr>
        <w:t>Para este grupo se asignan la totalidad de los 1000 puntos al aspecto económico, esto teniendo en cuenta que la condición de ser un seguro obligatorio no representa ningún valor agregado técnico que considere puntuación objetiva para el proceso.</w:t>
      </w:r>
    </w:p>
    <w:p w:rsidR="00D51B61" w:rsidRDefault="00D51B61" w:rsidP="007E29D2">
      <w:pPr>
        <w:spacing w:after="200" w:line="276" w:lineRule="auto"/>
        <w:rPr>
          <w:rFonts w:ascii="Arial" w:hAnsi="Arial" w:cs="Arial"/>
          <w:sz w:val="20"/>
          <w:szCs w:val="20"/>
        </w:rPr>
      </w:pPr>
    </w:p>
    <w:p w:rsid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GRUPO VI</w:t>
      </w:r>
    </w:p>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p>
    <w:p w:rsid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r w:rsidRPr="00831134">
        <w:rPr>
          <w:rFonts w:ascii="Arial" w:hAnsi="Arial" w:cs="Arial"/>
          <w:b/>
          <w:bCs/>
          <w:sz w:val="20"/>
          <w:szCs w:val="20"/>
        </w:rPr>
        <w:t>6.1 Seguro de Cumplimiento y RCE Derivada</w:t>
      </w:r>
    </w:p>
    <w:p w:rsid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tbl>
      <w:tblPr>
        <w:tblW w:w="9493" w:type="dxa"/>
        <w:tblCellMar>
          <w:left w:w="70" w:type="dxa"/>
          <w:right w:w="70" w:type="dxa"/>
        </w:tblCellMar>
        <w:tblLook w:val="04A0" w:firstRow="1" w:lastRow="0" w:firstColumn="1" w:lastColumn="0" w:noHBand="0" w:noVBand="1"/>
      </w:tblPr>
      <w:tblGrid>
        <w:gridCol w:w="4140"/>
        <w:gridCol w:w="1100"/>
        <w:gridCol w:w="1100"/>
        <w:gridCol w:w="1200"/>
        <w:gridCol w:w="1953"/>
      </w:tblGrid>
      <w:tr w:rsidR="00831134" w:rsidRPr="00831134" w:rsidTr="00B30552">
        <w:trPr>
          <w:trHeight w:val="1020"/>
        </w:trPr>
        <w:tc>
          <w:tcPr>
            <w:tcW w:w="52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Condiciones Técnicas Complementarias</w:t>
            </w:r>
          </w:p>
        </w:tc>
        <w:tc>
          <w:tcPr>
            <w:tcW w:w="11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1953" w:type="dxa"/>
            <w:tcBorders>
              <w:top w:val="single" w:sz="4" w:space="0" w:color="auto"/>
              <w:left w:val="nil"/>
              <w:bottom w:val="single" w:sz="4" w:space="0" w:color="auto"/>
              <w:right w:val="single" w:sz="4" w:space="0" w:color="auto"/>
            </w:tcBorders>
            <w:shd w:val="clear" w:color="000000" w:fill="D9D9D9"/>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auto"/>
                <w:sz w:val="22"/>
                <w:szCs w:val="22"/>
              </w:rPr>
            </w:pPr>
            <w:r w:rsidRPr="00831134">
              <w:rPr>
                <w:rFonts w:ascii="Calibri" w:hAnsi="Calibri" w:cs="Calibri"/>
                <w:b/>
                <w:bCs/>
                <w:color w:val="auto"/>
                <w:sz w:val="22"/>
                <w:szCs w:val="22"/>
              </w:rPr>
              <w:t>Puntos Asignados</w:t>
            </w:r>
          </w:p>
        </w:tc>
      </w:tr>
      <w:tr w:rsidR="00831134" w:rsidRPr="00831134" w:rsidTr="00B30552">
        <w:trPr>
          <w:trHeight w:val="1789"/>
        </w:trPr>
        <w:tc>
          <w:tcPr>
            <w:tcW w:w="5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Ofrecimiento de cupo operativo adicional al básico obligatorio de $250.000’000.000.</w:t>
            </w:r>
            <w:r w:rsidRPr="00831134">
              <w:rPr>
                <w:rFonts w:ascii="Arial" w:hAnsi="Arial" w:cs="Arial"/>
                <w:color w:val="auto"/>
                <w:sz w:val="20"/>
                <w:szCs w:val="20"/>
              </w:rPr>
              <w:t xml:space="preserve"> Se califica el cupo adicional de acuerdo con lo siguiente:</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831134">
              <w:rPr>
                <w:rFonts w:ascii="Calibri" w:hAnsi="Calibri" w:cs="Calibri"/>
                <w:color w:val="auto"/>
                <w:sz w:val="22"/>
                <w:szCs w:val="22"/>
              </w:rPr>
              <w:t> </w:t>
            </w: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cupo adicional</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$30.000’000.000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$40.000’000.000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51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$50.000’000.000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2052"/>
        </w:trPr>
        <w:tc>
          <w:tcPr>
            <w:tcW w:w="5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Ofrecimiento en el servicio de expedición delegada de un monto adicional al básico de $1.600.000.000. </w:t>
            </w:r>
            <w:r w:rsidRPr="00831134">
              <w:rPr>
                <w:rFonts w:ascii="Arial" w:hAnsi="Arial" w:cs="Arial"/>
                <w:color w:val="auto"/>
                <w:sz w:val="20"/>
                <w:szCs w:val="20"/>
              </w:rPr>
              <w:t xml:space="preserve">Se califica el cupo adicional de acuerdo con lo siguiente: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831134">
              <w:rPr>
                <w:rFonts w:ascii="Calibri" w:hAnsi="Calibri" w:cs="Calibri"/>
                <w:color w:val="auto"/>
                <w:sz w:val="22"/>
                <w:szCs w:val="22"/>
              </w:rPr>
              <w:t> </w:t>
            </w: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cupo adicional</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25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$300.000’000.000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51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$400.000’000.000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Total Puntos</w:t>
            </w:r>
          </w:p>
        </w:tc>
        <w:tc>
          <w:tcPr>
            <w:tcW w:w="11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c>
          <w:tcPr>
            <w:tcW w:w="11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53" w:type="dxa"/>
            <w:tcBorders>
              <w:top w:val="nil"/>
              <w:left w:val="nil"/>
              <w:bottom w:val="single" w:sz="4" w:space="0" w:color="auto"/>
              <w:right w:val="single" w:sz="4" w:space="0" w:color="auto"/>
            </w:tcBorders>
            <w:shd w:val="clear" w:color="000000" w:fill="D9D9D9"/>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831134">
              <w:rPr>
                <w:rFonts w:ascii="Calibri" w:hAnsi="Calibri" w:cs="Calibri"/>
                <w:color w:val="auto"/>
                <w:sz w:val="22"/>
                <w:szCs w:val="22"/>
              </w:rPr>
              <w:t> </w:t>
            </w:r>
          </w:p>
        </w:tc>
      </w:tr>
    </w:tbl>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p w:rsidR="00D51B61" w:rsidRDefault="00D51B61" w:rsidP="00831134">
      <w:pPr>
        <w:spacing w:after="200" w:line="276" w:lineRule="auto"/>
        <w:rPr>
          <w:rFonts w:ascii="Arial" w:hAnsi="Arial" w:cs="Arial"/>
          <w:sz w:val="20"/>
          <w:szCs w:val="20"/>
        </w:rPr>
      </w:pPr>
    </w:p>
    <w:sectPr w:rsidR="00D51B61" w:rsidSect="000B3847">
      <w:headerReference w:type="default" r:id="rId8"/>
      <w:footerReference w:type="default" r:id="rId9"/>
      <w:headerReference w:type="first" r:id="rId10"/>
      <w:footerReference w:type="first" r:id="rId11"/>
      <w:pgSz w:w="12242" w:h="15842" w:code="1"/>
      <w:pgMar w:top="2268" w:right="1418" w:bottom="1418" w:left="1418" w:header="113"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214" w:rsidRDefault="00537214">
      <w:r>
        <w:separator/>
      </w:r>
    </w:p>
  </w:endnote>
  <w:endnote w:type="continuationSeparator" w:id="0">
    <w:p w:rsidR="00537214" w:rsidRDefault="0053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44" w:rsidRPr="00CC34DA" w:rsidRDefault="005B5B44" w:rsidP="003E71ED">
    <w:pPr>
      <w:tabs>
        <w:tab w:val="center" w:pos="4252"/>
        <w:tab w:val="right" w:pos="8504"/>
      </w:tabs>
      <w:jc w:val="center"/>
      <w:rPr>
        <w:sz w:val="18"/>
      </w:rPr>
    </w:pPr>
    <w:r w:rsidRPr="00CC34DA">
      <w:rPr>
        <w:b/>
        <w:sz w:val="18"/>
      </w:rPr>
      <w:t>Ciudad Universitaria</w:t>
    </w:r>
    <w:r w:rsidRPr="00CC34DA">
      <w:rPr>
        <w:sz w:val="18"/>
      </w:rPr>
      <w:t>: Calle 67 N° 53-108, Recepción correspondencia Calle 70 No.52-27</w:t>
    </w:r>
  </w:p>
  <w:p w:rsidR="005B5B44" w:rsidRPr="00CC34DA" w:rsidRDefault="005B5B44" w:rsidP="003E71ED">
    <w:pPr>
      <w:tabs>
        <w:tab w:val="center" w:pos="4252"/>
        <w:tab w:val="right" w:pos="8504"/>
      </w:tabs>
      <w:jc w:val="center"/>
      <w:rPr>
        <w:sz w:val="18"/>
      </w:rPr>
    </w:pPr>
    <w:r w:rsidRPr="00CC34DA">
      <w:rPr>
        <w:sz w:val="18"/>
      </w:rPr>
      <w:t xml:space="preserve">Conmutador 219 83 32 Fax 263 8282  </w:t>
    </w:r>
    <w:proofErr w:type="spellStart"/>
    <w:r w:rsidRPr="00CC34DA">
      <w:rPr>
        <w:sz w:val="18"/>
      </w:rPr>
      <w:t>Nit</w:t>
    </w:r>
    <w:proofErr w:type="spellEnd"/>
    <w:r w:rsidRPr="00CC34DA">
      <w:rPr>
        <w:sz w:val="18"/>
      </w:rPr>
      <w:t>: 890.980.040-8</w:t>
    </w:r>
  </w:p>
  <w:p w:rsidR="005B5B44" w:rsidRPr="00CC34DA" w:rsidRDefault="005B5B44" w:rsidP="003E71ED">
    <w:pPr>
      <w:tabs>
        <w:tab w:val="center" w:pos="4252"/>
        <w:tab w:val="right" w:pos="8504"/>
      </w:tabs>
      <w:jc w:val="center"/>
      <w:rPr>
        <w:sz w:val="18"/>
      </w:rPr>
    </w:pPr>
    <w:r w:rsidRPr="00CC34DA">
      <w:rPr>
        <w:sz w:val="18"/>
      </w:rPr>
      <w:t xml:space="preserve">▪ Apartado: 1226 </w:t>
    </w:r>
    <w:hyperlink r:id="rId1">
      <w:r w:rsidRPr="00CC34DA">
        <w:rPr>
          <w:color w:val="0000FF"/>
          <w:sz w:val="18"/>
          <w:u w:val="single"/>
        </w:rPr>
        <w:t>http://www.udea.edu.co</w:t>
      </w:r>
    </w:hyperlink>
  </w:p>
  <w:p w:rsidR="005B5B44" w:rsidRPr="00CC34DA" w:rsidRDefault="005B5B44" w:rsidP="003E71ED">
    <w:pPr>
      <w:tabs>
        <w:tab w:val="center" w:pos="4252"/>
        <w:tab w:val="right" w:pos="8504"/>
      </w:tabs>
      <w:jc w:val="center"/>
      <w:rPr>
        <w:sz w:val="18"/>
      </w:rPr>
    </w:pPr>
    <w:r w:rsidRPr="00CC34DA">
      <w:rPr>
        <w:sz w:val="18"/>
      </w:rPr>
      <w:t>Medellín - Colombia</w:t>
    </w:r>
  </w:p>
  <w:p w:rsidR="005B5B44" w:rsidRDefault="005B5B44">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44" w:rsidRPr="00CC34DA" w:rsidRDefault="005B5B44" w:rsidP="003E71ED">
    <w:pPr>
      <w:tabs>
        <w:tab w:val="center" w:pos="4252"/>
        <w:tab w:val="right" w:pos="8504"/>
      </w:tabs>
      <w:jc w:val="center"/>
      <w:rPr>
        <w:sz w:val="18"/>
      </w:rPr>
    </w:pPr>
    <w:r w:rsidRPr="00CC34DA">
      <w:rPr>
        <w:b/>
        <w:sz w:val="18"/>
      </w:rPr>
      <w:t>Ciudad Universitaria</w:t>
    </w:r>
    <w:r w:rsidRPr="00CC34DA">
      <w:rPr>
        <w:sz w:val="18"/>
      </w:rPr>
      <w:t>: Calle 67 N° 53-108, Recepción correspondencia Calle 70 No.52-27</w:t>
    </w:r>
  </w:p>
  <w:p w:rsidR="005B5B44" w:rsidRPr="00CC34DA" w:rsidRDefault="005B5B44" w:rsidP="003E71ED">
    <w:pPr>
      <w:tabs>
        <w:tab w:val="center" w:pos="4252"/>
        <w:tab w:val="right" w:pos="8504"/>
      </w:tabs>
      <w:jc w:val="center"/>
      <w:rPr>
        <w:sz w:val="18"/>
      </w:rPr>
    </w:pPr>
    <w:r w:rsidRPr="00CC34DA">
      <w:rPr>
        <w:sz w:val="18"/>
      </w:rPr>
      <w:t xml:space="preserve">Conmutador 219 83 32 Fax 263 8282  </w:t>
    </w:r>
    <w:proofErr w:type="spellStart"/>
    <w:r w:rsidRPr="00CC34DA">
      <w:rPr>
        <w:sz w:val="18"/>
      </w:rPr>
      <w:t>Nit</w:t>
    </w:r>
    <w:proofErr w:type="spellEnd"/>
    <w:r w:rsidRPr="00CC34DA">
      <w:rPr>
        <w:sz w:val="18"/>
      </w:rPr>
      <w:t>: 890.980.040-8</w:t>
    </w:r>
  </w:p>
  <w:p w:rsidR="005B5B44" w:rsidRPr="00CC34DA" w:rsidRDefault="005B5B44" w:rsidP="003E71ED">
    <w:pPr>
      <w:tabs>
        <w:tab w:val="center" w:pos="4252"/>
        <w:tab w:val="right" w:pos="8504"/>
      </w:tabs>
      <w:jc w:val="center"/>
      <w:rPr>
        <w:sz w:val="18"/>
      </w:rPr>
    </w:pPr>
    <w:r w:rsidRPr="00CC34DA">
      <w:rPr>
        <w:sz w:val="18"/>
      </w:rPr>
      <w:t xml:space="preserve">▪ Apartado: 1226 </w:t>
    </w:r>
    <w:hyperlink r:id="rId1">
      <w:r w:rsidRPr="00CC34DA">
        <w:rPr>
          <w:color w:val="0000FF"/>
          <w:sz w:val="18"/>
          <w:u w:val="single"/>
        </w:rPr>
        <w:t>http://www.udea.edu.co</w:t>
      </w:r>
    </w:hyperlink>
  </w:p>
  <w:p w:rsidR="005B5B44" w:rsidRPr="00CC34DA" w:rsidRDefault="005B5B44" w:rsidP="003E71ED">
    <w:pPr>
      <w:tabs>
        <w:tab w:val="center" w:pos="4252"/>
        <w:tab w:val="right" w:pos="8504"/>
      </w:tabs>
      <w:jc w:val="center"/>
      <w:rPr>
        <w:sz w:val="18"/>
      </w:rPr>
    </w:pPr>
    <w:r w:rsidRPr="00CC34DA">
      <w:rPr>
        <w:sz w:val="18"/>
      </w:rPr>
      <w:t>Medellín - Colombia</w:t>
    </w:r>
  </w:p>
  <w:p w:rsidR="005B5B44" w:rsidRPr="003E71ED" w:rsidRDefault="005B5B44" w:rsidP="003E71E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214" w:rsidRDefault="00537214">
      <w:r>
        <w:separator/>
      </w:r>
    </w:p>
  </w:footnote>
  <w:footnote w:type="continuationSeparator" w:id="0">
    <w:p w:rsidR="00537214" w:rsidRDefault="005372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44" w:rsidRDefault="005B5B44" w:rsidP="003E71ED">
    <w:pPr>
      <w:tabs>
        <w:tab w:val="left" w:pos="2160"/>
      </w:tabs>
      <w:spacing w:before="1077"/>
    </w:pPr>
    <w:r>
      <w:rPr>
        <w:rFonts w:ascii="Arial" w:eastAsia="Arial" w:hAnsi="Arial" w:cs="Arial"/>
        <w:b/>
        <w:noProof/>
        <w:lang w:val="en-US" w:eastAsia="en-US"/>
      </w:rPr>
      <w:drawing>
        <wp:anchor distT="0" distB="0" distL="114300" distR="114300" simplePos="0" relativeHeight="251659264" behindDoc="1" locked="0" layoutInCell="1" allowOverlap="1" wp14:anchorId="147BF6D5" wp14:editId="72B8FE47">
          <wp:simplePos x="0" y="0"/>
          <wp:positionH relativeFrom="column">
            <wp:posOffset>-146685</wp:posOffset>
          </wp:positionH>
          <wp:positionV relativeFrom="paragraph">
            <wp:posOffset>137795</wp:posOffset>
          </wp:positionV>
          <wp:extent cx="2463800" cy="876300"/>
          <wp:effectExtent l="0" t="0" r="0" b="0"/>
          <wp:wrapTight wrapText="bothSides">
            <wp:wrapPolygon edited="0">
              <wp:start x="0" y="0"/>
              <wp:lineTo x="0" y="21130"/>
              <wp:lineTo x="21377" y="21130"/>
              <wp:lineTo x="21377" y="0"/>
              <wp:lineTo x="0" y="0"/>
            </wp:wrapPolygon>
          </wp:wrapTight>
          <wp:docPr id="1" name="image5.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5.jpg" descr="Vicerrectoría+Administrativa"/>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2463800" cy="876300"/>
                  </a:xfrm>
                  <a:prstGeom prst="rect">
                    <a:avLst/>
                  </a:prstGeom>
                  <a:ln/>
                </pic:spPr>
              </pic:pic>
            </a:graphicData>
          </a:graphic>
        </wp:anchor>
      </w:drawing>
    </w: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44" w:rsidRDefault="005B5B44">
    <w:pPr>
      <w:widowControl w:val="0"/>
      <w:tabs>
        <w:tab w:val="left" w:pos="960"/>
        <w:tab w:val="right" w:pos="8840"/>
      </w:tabs>
      <w:spacing w:before="1077"/>
      <w:jc w:val="center"/>
      <w:rPr>
        <w:rFonts w:ascii="Arial" w:eastAsia="Arial" w:hAnsi="Arial" w:cs="Arial"/>
        <w:sz w:val="22"/>
        <w:szCs w:val="22"/>
      </w:rPr>
    </w:pPr>
    <w:r>
      <w:rPr>
        <w:rFonts w:ascii="Arial" w:eastAsia="Arial" w:hAnsi="Arial" w:cs="Arial"/>
        <w:b/>
        <w:noProof/>
        <w:lang w:val="en-US" w:eastAsia="en-US"/>
      </w:rPr>
      <w:drawing>
        <wp:anchor distT="0" distB="0" distL="114300" distR="114300" simplePos="0" relativeHeight="251658240" behindDoc="1" locked="0" layoutInCell="1" allowOverlap="1">
          <wp:simplePos x="0" y="0"/>
          <wp:positionH relativeFrom="column">
            <wp:posOffset>-22860</wp:posOffset>
          </wp:positionH>
          <wp:positionV relativeFrom="paragraph">
            <wp:posOffset>171450</wp:posOffset>
          </wp:positionV>
          <wp:extent cx="2463800" cy="876300"/>
          <wp:effectExtent l="0" t="0" r="0" b="0"/>
          <wp:wrapTight wrapText="bothSides">
            <wp:wrapPolygon edited="0">
              <wp:start x="0" y="0"/>
              <wp:lineTo x="0" y="21130"/>
              <wp:lineTo x="21377" y="21130"/>
              <wp:lineTo x="21377" y="0"/>
              <wp:lineTo x="0" y="0"/>
            </wp:wrapPolygon>
          </wp:wrapTight>
          <wp:docPr id="2" name="image5.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5.jpg" descr="Vicerrectoría+Administrativa"/>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2463800" cy="8763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1A59"/>
    <w:multiLevelType w:val="multilevel"/>
    <w:tmpl w:val="1E145662"/>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B510E0"/>
    <w:multiLevelType w:val="multilevel"/>
    <w:tmpl w:val="128CF11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BF57062"/>
    <w:multiLevelType w:val="hybridMultilevel"/>
    <w:tmpl w:val="67827C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7A4124F"/>
    <w:multiLevelType w:val="hybridMultilevel"/>
    <w:tmpl w:val="2F5C4D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643E6B94"/>
    <w:multiLevelType w:val="hybridMultilevel"/>
    <w:tmpl w:val="D63434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A77"/>
    <w:rsid w:val="00002B23"/>
    <w:rsid w:val="0000576A"/>
    <w:rsid w:val="000266A8"/>
    <w:rsid w:val="00026E9A"/>
    <w:rsid w:val="00052856"/>
    <w:rsid w:val="000560C6"/>
    <w:rsid w:val="00060365"/>
    <w:rsid w:val="00066207"/>
    <w:rsid w:val="00075A9D"/>
    <w:rsid w:val="0007776B"/>
    <w:rsid w:val="00081781"/>
    <w:rsid w:val="00085593"/>
    <w:rsid w:val="000A1B79"/>
    <w:rsid w:val="000B3847"/>
    <w:rsid w:val="000C0B88"/>
    <w:rsid w:val="000E189E"/>
    <w:rsid w:val="000F0BD3"/>
    <w:rsid w:val="00107736"/>
    <w:rsid w:val="00121DDF"/>
    <w:rsid w:val="0012487A"/>
    <w:rsid w:val="00125E1F"/>
    <w:rsid w:val="001339C9"/>
    <w:rsid w:val="00134FD6"/>
    <w:rsid w:val="00147772"/>
    <w:rsid w:val="00153268"/>
    <w:rsid w:val="0015349E"/>
    <w:rsid w:val="001745FA"/>
    <w:rsid w:val="00184DC7"/>
    <w:rsid w:val="001A4A3B"/>
    <w:rsid w:val="001B0287"/>
    <w:rsid w:val="001B043C"/>
    <w:rsid w:val="001B09FA"/>
    <w:rsid w:val="001B1754"/>
    <w:rsid w:val="001B7460"/>
    <w:rsid w:val="001D2DA5"/>
    <w:rsid w:val="001D6D7C"/>
    <w:rsid w:val="00202A9B"/>
    <w:rsid w:val="0023186D"/>
    <w:rsid w:val="002325E5"/>
    <w:rsid w:val="00240810"/>
    <w:rsid w:val="0025668F"/>
    <w:rsid w:val="00270609"/>
    <w:rsid w:val="002838C4"/>
    <w:rsid w:val="00283D3C"/>
    <w:rsid w:val="0028553D"/>
    <w:rsid w:val="002E1130"/>
    <w:rsid w:val="002F5C26"/>
    <w:rsid w:val="0030004B"/>
    <w:rsid w:val="003014D5"/>
    <w:rsid w:val="003015E4"/>
    <w:rsid w:val="003107F4"/>
    <w:rsid w:val="00323FE7"/>
    <w:rsid w:val="0033676D"/>
    <w:rsid w:val="00342CB2"/>
    <w:rsid w:val="00344F9E"/>
    <w:rsid w:val="003504E5"/>
    <w:rsid w:val="0035376D"/>
    <w:rsid w:val="0035462E"/>
    <w:rsid w:val="0036626F"/>
    <w:rsid w:val="0037055B"/>
    <w:rsid w:val="003A0E9B"/>
    <w:rsid w:val="003C4DD1"/>
    <w:rsid w:val="003D0B80"/>
    <w:rsid w:val="003D7F9B"/>
    <w:rsid w:val="003E1002"/>
    <w:rsid w:val="003E20F1"/>
    <w:rsid w:val="003E71ED"/>
    <w:rsid w:val="003F596D"/>
    <w:rsid w:val="00413C8D"/>
    <w:rsid w:val="004237FC"/>
    <w:rsid w:val="00427A56"/>
    <w:rsid w:val="004630B7"/>
    <w:rsid w:val="00481C3C"/>
    <w:rsid w:val="00495838"/>
    <w:rsid w:val="004B00B6"/>
    <w:rsid w:val="004D3C6B"/>
    <w:rsid w:val="004D77A2"/>
    <w:rsid w:val="004E4001"/>
    <w:rsid w:val="004F15F1"/>
    <w:rsid w:val="004F6369"/>
    <w:rsid w:val="005018C9"/>
    <w:rsid w:val="00503166"/>
    <w:rsid w:val="00504C26"/>
    <w:rsid w:val="005050E3"/>
    <w:rsid w:val="00516BFE"/>
    <w:rsid w:val="00533647"/>
    <w:rsid w:val="00537214"/>
    <w:rsid w:val="005533EC"/>
    <w:rsid w:val="00562A9E"/>
    <w:rsid w:val="00566ADE"/>
    <w:rsid w:val="005714CB"/>
    <w:rsid w:val="005763B2"/>
    <w:rsid w:val="00580C6D"/>
    <w:rsid w:val="0058374B"/>
    <w:rsid w:val="0058413D"/>
    <w:rsid w:val="0058467A"/>
    <w:rsid w:val="00593F9B"/>
    <w:rsid w:val="005951B6"/>
    <w:rsid w:val="005A35AA"/>
    <w:rsid w:val="005B34DF"/>
    <w:rsid w:val="005B5B44"/>
    <w:rsid w:val="005C756D"/>
    <w:rsid w:val="005E1CF2"/>
    <w:rsid w:val="005E3425"/>
    <w:rsid w:val="005E5FDD"/>
    <w:rsid w:val="005F4DC9"/>
    <w:rsid w:val="00612144"/>
    <w:rsid w:val="006259EB"/>
    <w:rsid w:val="00653797"/>
    <w:rsid w:val="00656C26"/>
    <w:rsid w:val="00680146"/>
    <w:rsid w:val="00690D5E"/>
    <w:rsid w:val="006A0C74"/>
    <w:rsid w:val="006A121B"/>
    <w:rsid w:val="006A4A37"/>
    <w:rsid w:val="006B1CE0"/>
    <w:rsid w:val="006C395E"/>
    <w:rsid w:val="006C64F8"/>
    <w:rsid w:val="006D04F2"/>
    <w:rsid w:val="006E4896"/>
    <w:rsid w:val="006E5FAE"/>
    <w:rsid w:val="006F50E7"/>
    <w:rsid w:val="00701D3D"/>
    <w:rsid w:val="0070258C"/>
    <w:rsid w:val="0072191B"/>
    <w:rsid w:val="0072252C"/>
    <w:rsid w:val="007366C1"/>
    <w:rsid w:val="007432E5"/>
    <w:rsid w:val="007432F9"/>
    <w:rsid w:val="007441BA"/>
    <w:rsid w:val="0076312A"/>
    <w:rsid w:val="00784D6F"/>
    <w:rsid w:val="00785EDC"/>
    <w:rsid w:val="00790BEF"/>
    <w:rsid w:val="00796E9D"/>
    <w:rsid w:val="007B3096"/>
    <w:rsid w:val="007E29D2"/>
    <w:rsid w:val="007E4474"/>
    <w:rsid w:val="00805D30"/>
    <w:rsid w:val="00812108"/>
    <w:rsid w:val="00814301"/>
    <w:rsid w:val="00831134"/>
    <w:rsid w:val="00844CDD"/>
    <w:rsid w:val="00845D46"/>
    <w:rsid w:val="00854787"/>
    <w:rsid w:val="00863EAC"/>
    <w:rsid w:val="00866952"/>
    <w:rsid w:val="00877025"/>
    <w:rsid w:val="00883068"/>
    <w:rsid w:val="00883874"/>
    <w:rsid w:val="00884DB2"/>
    <w:rsid w:val="008A0824"/>
    <w:rsid w:val="008A0C65"/>
    <w:rsid w:val="008A1CAC"/>
    <w:rsid w:val="008A3DC2"/>
    <w:rsid w:val="008B2685"/>
    <w:rsid w:val="008C78E4"/>
    <w:rsid w:val="00912048"/>
    <w:rsid w:val="00917146"/>
    <w:rsid w:val="009237E5"/>
    <w:rsid w:val="00925DC3"/>
    <w:rsid w:val="00930BDB"/>
    <w:rsid w:val="0093600B"/>
    <w:rsid w:val="00937BB2"/>
    <w:rsid w:val="009471AC"/>
    <w:rsid w:val="009510DD"/>
    <w:rsid w:val="009630C1"/>
    <w:rsid w:val="00967EF3"/>
    <w:rsid w:val="009728EC"/>
    <w:rsid w:val="00973B1C"/>
    <w:rsid w:val="00984590"/>
    <w:rsid w:val="00996895"/>
    <w:rsid w:val="009A26E4"/>
    <w:rsid w:val="009D7D41"/>
    <w:rsid w:val="00A21A77"/>
    <w:rsid w:val="00A265CD"/>
    <w:rsid w:val="00A27C34"/>
    <w:rsid w:val="00A31BA2"/>
    <w:rsid w:val="00A35754"/>
    <w:rsid w:val="00A40773"/>
    <w:rsid w:val="00A4129F"/>
    <w:rsid w:val="00A42517"/>
    <w:rsid w:val="00A42AD6"/>
    <w:rsid w:val="00A53556"/>
    <w:rsid w:val="00A55B22"/>
    <w:rsid w:val="00A61776"/>
    <w:rsid w:val="00A672FA"/>
    <w:rsid w:val="00A76CE2"/>
    <w:rsid w:val="00A76FCB"/>
    <w:rsid w:val="00A85BB8"/>
    <w:rsid w:val="00A93DF5"/>
    <w:rsid w:val="00AA1C9B"/>
    <w:rsid w:val="00AB69A3"/>
    <w:rsid w:val="00AD357F"/>
    <w:rsid w:val="00B019C6"/>
    <w:rsid w:val="00B231E5"/>
    <w:rsid w:val="00B30552"/>
    <w:rsid w:val="00B33EBC"/>
    <w:rsid w:val="00B76AD1"/>
    <w:rsid w:val="00B82966"/>
    <w:rsid w:val="00BC4380"/>
    <w:rsid w:val="00BD3A42"/>
    <w:rsid w:val="00BE0CAB"/>
    <w:rsid w:val="00BF6737"/>
    <w:rsid w:val="00BF7DE9"/>
    <w:rsid w:val="00C02F58"/>
    <w:rsid w:val="00C0702A"/>
    <w:rsid w:val="00C12137"/>
    <w:rsid w:val="00C4286F"/>
    <w:rsid w:val="00C44849"/>
    <w:rsid w:val="00C57EC9"/>
    <w:rsid w:val="00C6051C"/>
    <w:rsid w:val="00C6755B"/>
    <w:rsid w:val="00C67597"/>
    <w:rsid w:val="00C77F50"/>
    <w:rsid w:val="00C80223"/>
    <w:rsid w:val="00C90547"/>
    <w:rsid w:val="00C94CCC"/>
    <w:rsid w:val="00CA12C5"/>
    <w:rsid w:val="00CB0AEA"/>
    <w:rsid w:val="00CB271A"/>
    <w:rsid w:val="00CC6126"/>
    <w:rsid w:val="00CF6BA3"/>
    <w:rsid w:val="00D0344F"/>
    <w:rsid w:val="00D10E82"/>
    <w:rsid w:val="00D21138"/>
    <w:rsid w:val="00D51B61"/>
    <w:rsid w:val="00D56FDD"/>
    <w:rsid w:val="00D64D32"/>
    <w:rsid w:val="00D70CEC"/>
    <w:rsid w:val="00D70EF2"/>
    <w:rsid w:val="00D75C91"/>
    <w:rsid w:val="00D77B3B"/>
    <w:rsid w:val="00D977FF"/>
    <w:rsid w:val="00DA0173"/>
    <w:rsid w:val="00DA57DB"/>
    <w:rsid w:val="00DC4D09"/>
    <w:rsid w:val="00DD03A4"/>
    <w:rsid w:val="00DD719E"/>
    <w:rsid w:val="00DE3EE5"/>
    <w:rsid w:val="00E021B5"/>
    <w:rsid w:val="00E0735C"/>
    <w:rsid w:val="00E07462"/>
    <w:rsid w:val="00E107E9"/>
    <w:rsid w:val="00E25D9E"/>
    <w:rsid w:val="00E2783C"/>
    <w:rsid w:val="00E76310"/>
    <w:rsid w:val="00E844D3"/>
    <w:rsid w:val="00EB2FA4"/>
    <w:rsid w:val="00EB58E9"/>
    <w:rsid w:val="00EC057B"/>
    <w:rsid w:val="00ED06A7"/>
    <w:rsid w:val="00ED4F4C"/>
    <w:rsid w:val="00ED5B04"/>
    <w:rsid w:val="00EE0591"/>
    <w:rsid w:val="00EE21AA"/>
    <w:rsid w:val="00EF3C72"/>
    <w:rsid w:val="00EF49A1"/>
    <w:rsid w:val="00F33D59"/>
    <w:rsid w:val="00F36DB7"/>
    <w:rsid w:val="00F423B6"/>
    <w:rsid w:val="00F46414"/>
    <w:rsid w:val="00F46C47"/>
    <w:rsid w:val="00F5008E"/>
    <w:rsid w:val="00F50469"/>
    <w:rsid w:val="00F51263"/>
    <w:rsid w:val="00F545CB"/>
    <w:rsid w:val="00F6073E"/>
    <w:rsid w:val="00F72748"/>
    <w:rsid w:val="00F82D9D"/>
    <w:rsid w:val="00FB6087"/>
    <w:rsid w:val="00FB6C97"/>
    <w:rsid w:val="00FC52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C0B17-7679-490F-9601-31F08EFB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s-CO" w:eastAsia="es-CO"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tabs>
        <w:tab w:val="left" w:pos="4536"/>
      </w:tabs>
      <w:outlineLvl w:val="0"/>
    </w:pPr>
    <w:rPr>
      <w:rFonts w:ascii="Arial" w:eastAsia="Arial" w:hAnsi="Arial" w:cs="Arial"/>
      <w:b/>
    </w:rPr>
  </w:style>
  <w:style w:type="paragraph" w:styleId="Ttulo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Ttulo3">
    <w:name w:val="heading 3"/>
    <w:basedOn w:val="Normal"/>
    <w:next w:val="Normal"/>
    <w:pPr>
      <w:keepNext/>
      <w:spacing w:line="360" w:lineRule="auto"/>
      <w:jc w:val="both"/>
      <w:outlineLvl w:val="2"/>
    </w:pPr>
    <w:rPr>
      <w:rFonts w:ascii="Impact" w:eastAsia="Impact" w:hAnsi="Impact" w:cs="Impact"/>
      <w:sz w:val="32"/>
      <w:szCs w:val="32"/>
    </w:rPr>
  </w:style>
  <w:style w:type="paragraph" w:styleId="Ttulo4">
    <w:name w:val="heading 4"/>
    <w:basedOn w:val="Normal"/>
    <w:next w:val="Normal"/>
    <w:pPr>
      <w:keepNext/>
      <w:spacing w:before="240" w:after="60"/>
      <w:outlineLvl w:val="3"/>
    </w:pPr>
    <w:rPr>
      <w:b/>
      <w:sz w:val="28"/>
      <w:szCs w:val="28"/>
    </w:rPr>
  </w:style>
  <w:style w:type="paragraph" w:styleId="Ttulo5">
    <w:name w:val="heading 5"/>
    <w:basedOn w:val="Normal"/>
    <w:next w:val="Normal"/>
    <w:pPr>
      <w:spacing w:before="240" w:after="60"/>
      <w:outlineLvl w:val="4"/>
    </w:pPr>
    <w:rPr>
      <w:rFonts w:ascii="Arial" w:eastAsia="Arial" w:hAnsi="Arial" w:cs="Arial"/>
      <w:b/>
      <w:i/>
      <w:sz w:val="26"/>
      <w:szCs w:val="26"/>
    </w:rPr>
  </w:style>
  <w:style w:type="paragraph" w:styleId="Ttulo6">
    <w:name w:val="heading 6"/>
    <w:basedOn w:val="Normal"/>
    <w:next w:val="Normal"/>
    <w:pPr>
      <w:keepNext/>
      <w:spacing w:line="360" w:lineRule="auto"/>
      <w:jc w:val="both"/>
      <w:outlineLvl w:val="5"/>
    </w:pPr>
    <w:rPr>
      <w:rFonts w:ascii="Arial" w:eastAsia="Arial" w:hAnsi="Arial" w:cs="Arial"/>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jc w:val="center"/>
    </w:pPr>
    <w:rPr>
      <w:rFonts w:ascii="Arial" w:eastAsia="Arial" w:hAnsi="Arial" w:cs="Arial"/>
      <w:b/>
    </w:rPr>
  </w:style>
  <w:style w:type="paragraph" w:styleId="Subttulo">
    <w:name w:val="Subtitle"/>
    <w:basedOn w:val="Normal"/>
    <w:next w:val="Normal"/>
    <w:pPr>
      <w:jc w:val="center"/>
    </w:pPr>
    <w:rPr>
      <w:rFonts w:ascii="Arial" w:eastAsia="Arial" w:hAnsi="Arial" w:cs="Arial"/>
      <w:b/>
      <w:sz w:val="32"/>
      <w:szCs w:val="32"/>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44F9E"/>
    <w:rPr>
      <w:rFonts w:ascii="Tahoma" w:hAnsi="Tahoma" w:cs="Tahoma"/>
      <w:sz w:val="16"/>
      <w:szCs w:val="16"/>
    </w:rPr>
  </w:style>
  <w:style w:type="character" w:customStyle="1" w:styleId="TextodegloboCar">
    <w:name w:val="Texto de globo Car"/>
    <w:basedOn w:val="Fuentedeprrafopredeter"/>
    <w:link w:val="Textodeglobo"/>
    <w:uiPriority w:val="99"/>
    <w:semiHidden/>
    <w:rsid w:val="00344F9E"/>
    <w:rPr>
      <w:rFonts w:ascii="Tahoma" w:hAnsi="Tahoma" w:cs="Tahoma"/>
      <w:sz w:val="16"/>
      <w:szCs w:val="16"/>
    </w:rPr>
  </w:style>
  <w:style w:type="paragraph" w:customStyle="1" w:styleId="Sangradetextonormal1">
    <w:name w:val="Sangría de texto normal1"/>
    <w:basedOn w:val="Normal"/>
    <w:rsid w:val="00A672FA"/>
    <w:pPr>
      <w:widowControl w:val="0"/>
      <w:pBdr>
        <w:top w:val="none" w:sz="0" w:space="0" w:color="auto"/>
        <w:left w:val="none" w:sz="0" w:space="0" w:color="auto"/>
        <w:bottom w:val="none" w:sz="0" w:space="0" w:color="auto"/>
        <w:right w:val="none" w:sz="0" w:space="0" w:color="auto"/>
        <w:between w:val="none" w:sz="0" w:space="0" w:color="auto"/>
      </w:pBdr>
      <w:spacing w:after="120"/>
      <w:ind w:left="283"/>
    </w:pPr>
    <w:rPr>
      <w:rFonts w:ascii="Courier New" w:hAnsi="Courier New"/>
      <w:snapToGrid w:val="0"/>
      <w:color w:val="auto"/>
      <w:sz w:val="20"/>
      <w:szCs w:val="20"/>
      <w:lang w:val="es-ES" w:eastAsia="en-US"/>
    </w:rPr>
  </w:style>
  <w:style w:type="paragraph" w:styleId="Encabezado">
    <w:name w:val="header"/>
    <w:basedOn w:val="Normal"/>
    <w:link w:val="EncabezadoCar"/>
    <w:uiPriority w:val="99"/>
    <w:unhideWhenUsed/>
    <w:rsid w:val="005763B2"/>
    <w:pPr>
      <w:tabs>
        <w:tab w:val="center" w:pos="4419"/>
        <w:tab w:val="right" w:pos="8838"/>
      </w:tabs>
    </w:pPr>
  </w:style>
  <w:style w:type="character" w:customStyle="1" w:styleId="EncabezadoCar">
    <w:name w:val="Encabezado Car"/>
    <w:basedOn w:val="Fuentedeprrafopredeter"/>
    <w:link w:val="Encabezado"/>
    <w:uiPriority w:val="99"/>
    <w:rsid w:val="005763B2"/>
  </w:style>
  <w:style w:type="paragraph" w:styleId="Piedepgina">
    <w:name w:val="footer"/>
    <w:basedOn w:val="Normal"/>
    <w:link w:val="PiedepginaCar"/>
    <w:uiPriority w:val="99"/>
    <w:unhideWhenUsed/>
    <w:rsid w:val="005763B2"/>
    <w:pPr>
      <w:tabs>
        <w:tab w:val="center" w:pos="4419"/>
        <w:tab w:val="right" w:pos="8838"/>
      </w:tabs>
    </w:pPr>
  </w:style>
  <w:style w:type="character" w:customStyle="1" w:styleId="PiedepginaCar">
    <w:name w:val="Pie de página Car"/>
    <w:basedOn w:val="Fuentedeprrafopredeter"/>
    <w:link w:val="Piedepgina"/>
    <w:uiPriority w:val="99"/>
    <w:rsid w:val="005763B2"/>
  </w:style>
  <w:style w:type="paragraph" w:customStyle="1" w:styleId="Default">
    <w:name w:val="Default"/>
    <w:rsid w:val="00796E9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lang w:val="es-ES"/>
    </w:rPr>
  </w:style>
  <w:style w:type="paragraph" w:styleId="Asuntodelcomentario">
    <w:name w:val="annotation subject"/>
    <w:basedOn w:val="Textocomentario"/>
    <w:next w:val="Textocomentario"/>
    <w:link w:val="AsuntodelcomentarioCar"/>
    <w:uiPriority w:val="99"/>
    <w:semiHidden/>
    <w:unhideWhenUsed/>
    <w:rsid w:val="00B33EBC"/>
    <w:rPr>
      <w:b/>
      <w:bCs/>
    </w:rPr>
  </w:style>
  <w:style w:type="character" w:customStyle="1" w:styleId="AsuntodelcomentarioCar">
    <w:name w:val="Asunto del comentario Car"/>
    <w:basedOn w:val="TextocomentarioCar"/>
    <w:link w:val="Asuntodelcomentario"/>
    <w:uiPriority w:val="99"/>
    <w:semiHidden/>
    <w:rsid w:val="00B33EBC"/>
    <w:rPr>
      <w:b/>
      <w:bCs/>
      <w:sz w:val="20"/>
      <w:szCs w:val="20"/>
    </w:rPr>
  </w:style>
  <w:style w:type="paragraph" w:styleId="Prrafodelista">
    <w:name w:val="List Paragraph"/>
    <w:aliases w:val="HOJA,Bolita,List Paragraph,Párrafo de lista4,BOLADEF,Párrafo de lista3,Párrafo de lista21,BOLA,Nivel 1 OS,Colorful List Accent 1,Colorful List - Accent 11"/>
    <w:basedOn w:val="Normal"/>
    <w:link w:val="PrrafodelistaCar"/>
    <w:uiPriority w:val="34"/>
    <w:qFormat/>
    <w:rsid w:val="00B33EBC"/>
    <w:pPr>
      <w:pBdr>
        <w:top w:val="none" w:sz="0" w:space="0" w:color="auto"/>
        <w:left w:val="none" w:sz="0" w:space="0" w:color="auto"/>
        <w:bottom w:val="none" w:sz="0" w:space="0" w:color="auto"/>
        <w:right w:val="none" w:sz="0" w:space="0" w:color="auto"/>
        <w:between w:val="none" w:sz="0" w:space="0" w:color="auto"/>
      </w:pBdr>
      <w:spacing w:line="260" w:lineRule="atLeast"/>
      <w:ind w:left="720"/>
      <w:contextualSpacing/>
    </w:pPr>
    <w:rPr>
      <w:rFonts w:ascii="Arial" w:hAnsi="Arial" w:cs="Arial"/>
      <w:color w:val="auto"/>
      <w:sz w:val="22"/>
      <w:szCs w:val="20"/>
      <w:lang w:val="es-ES_tradnl" w:eastAsia="en-US"/>
    </w:rPr>
  </w:style>
  <w:style w:type="character" w:customStyle="1" w:styleId="PrrafodelistaCar">
    <w:name w:val="Párrafo de lista Car"/>
    <w:aliases w:val="HOJA Car,Bolita Car,List Paragraph Car,Párrafo de lista4 Car,BOLADEF Car,Párrafo de lista3 Car,Párrafo de lista21 Car,BOLA Car,Nivel 1 OS Car,Colorful List Accent 1 Car,Colorful List - Accent 11 Car"/>
    <w:basedOn w:val="Fuentedeprrafopredeter"/>
    <w:link w:val="Prrafodelista"/>
    <w:uiPriority w:val="34"/>
    <w:locked/>
    <w:rsid w:val="00B33EBC"/>
    <w:rPr>
      <w:rFonts w:ascii="Arial" w:hAnsi="Arial" w:cs="Arial"/>
      <w:color w:val="auto"/>
      <w:sz w:val="22"/>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59530">
      <w:bodyDiv w:val="1"/>
      <w:marLeft w:val="0"/>
      <w:marRight w:val="0"/>
      <w:marTop w:val="0"/>
      <w:marBottom w:val="0"/>
      <w:divBdr>
        <w:top w:val="none" w:sz="0" w:space="0" w:color="auto"/>
        <w:left w:val="none" w:sz="0" w:space="0" w:color="auto"/>
        <w:bottom w:val="none" w:sz="0" w:space="0" w:color="auto"/>
        <w:right w:val="none" w:sz="0" w:space="0" w:color="auto"/>
      </w:divBdr>
    </w:div>
    <w:div w:id="58866080">
      <w:bodyDiv w:val="1"/>
      <w:marLeft w:val="0"/>
      <w:marRight w:val="0"/>
      <w:marTop w:val="0"/>
      <w:marBottom w:val="0"/>
      <w:divBdr>
        <w:top w:val="none" w:sz="0" w:space="0" w:color="auto"/>
        <w:left w:val="none" w:sz="0" w:space="0" w:color="auto"/>
        <w:bottom w:val="none" w:sz="0" w:space="0" w:color="auto"/>
        <w:right w:val="none" w:sz="0" w:space="0" w:color="auto"/>
      </w:divBdr>
    </w:div>
    <w:div w:id="60299276">
      <w:bodyDiv w:val="1"/>
      <w:marLeft w:val="0"/>
      <w:marRight w:val="0"/>
      <w:marTop w:val="0"/>
      <w:marBottom w:val="0"/>
      <w:divBdr>
        <w:top w:val="none" w:sz="0" w:space="0" w:color="auto"/>
        <w:left w:val="none" w:sz="0" w:space="0" w:color="auto"/>
        <w:bottom w:val="none" w:sz="0" w:space="0" w:color="auto"/>
        <w:right w:val="none" w:sz="0" w:space="0" w:color="auto"/>
      </w:divBdr>
    </w:div>
    <w:div w:id="162625896">
      <w:bodyDiv w:val="1"/>
      <w:marLeft w:val="0"/>
      <w:marRight w:val="0"/>
      <w:marTop w:val="0"/>
      <w:marBottom w:val="0"/>
      <w:divBdr>
        <w:top w:val="none" w:sz="0" w:space="0" w:color="auto"/>
        <w:left w:val="none" w:sz="0" w:space="0" w:color="auto"/>
        <w:bottom w:val="none" w:sz="0" w:space="0" w:color="auto"/>
        <w:right w:val="none" w:sz="0" w:space="0" w:color="auto"/>
      </w:divBdr>
    </w:div>
    <w:div w:id="176770927">
      <w:bodyDiv w:val="1"/>
      <w:marLeft w:val="0"/>
      <w:marRight w:val="0"/>
      <w:marTop w:val="0"/>
      <w:marBottom w:val="0"/>
      <w:divBdr>
        <w:top w:val="none" w:sz="0" w:space="0" w:color="auto"/>
        <w:left w:val="none" w:sz="0" w:space="0" w:color="auto"/>
        <w:bottom w:val="none" w:sz="0" w:space="0" w:color="auto"/>
        <w:right w:val="none" w:sz="0" w:space="0" w:color="auto"/>
      </w:divBdr>
    </w:div>
    <w:div w:id="248122912">
      <w:bodyDiv w:val="1"/>
      <w:marLeft w:val="0"/>
      <w:marRight w:val="0"/>
      <w:marTop w:val="0"/>
      <w:marBottom w:val="0"/>
      <w:divBdr>
        <w:top w:val="none" w:sz="0" w:space="0" w:color="auto"/>
        <w:left w:val="none" w:sz="0" w:space="0" w:color="auto"/>
        <w:bottom w:val="none" w:sz="0" w:space="0" w:color="auto"/>
        <w:right w:val="none" w:sz="0" w:space="0" w:color="auto"/>
      </w:divBdr>
    </w:div>
    <w:div w:id="258802357">
      <w:bodyDiv w:val="1"/>
      <w:marLeft w:val="0"/>
      <w:marRight w:val="0"/>
      <w:marTop w:val="0"/>
      <w:marBottom w:val="0"/>
      <w:divBdr>
        <w:top w:val="none" w:sz="0" w:space="0" w:color="auto"/>
        <w:left w:val="none" w:sz="0" w:space="0" w:color="auto"/>
        <w:bottom w:val="none" w:sz="0" w:space="0" w:color="auto"/>
        <w:right w:val="none" w:sz="0" w:space="0" w:color="auto"/>
      </w:divBdr>
    </w:div>
    <w:div w:id="357387819">
      <w:bodyDiv w:val="1"/>
      <w:marLeft w:val="0"/>
      <w:marRight w:val="0"/>
      <w:marTop w:val="0"/>
      <w:marBottom w:val="0"/>
      <w:divBdr>
        <w:top w:val="none" w:sz="0" w:space="0" w:color="auto"/>
        <w:left w:val="none" w:sz="0" w:space="0" w:color="auto"/>
        <w:bottom w:val="none" w:sz="0" w:space="0" w:color="auto"/>
        <w:right w:val="none" w:sz="0" w:space="0" w:color="auto"/>
      </w:divBdr>
    </w:div>
    <w:div w:id="456487540">
      <w:bodyDiv w:val="1"/>
      <w:marLeft w:val="0"/>
      <w:marRight w:val="0"/>
      <w:marTop w:val="0"/>
      <w:marBottom w:val="0"/>
      <w:divBdr>
        <w:top w:val="none" w:sz="0" w:space="0" w:color="auto"/>
        <w:left w:val="none" w:sz="0" w:space="0" w:color="auto"/>
        <w:bottom w:val="none" w:sz="0" w:space="0" w:color="auto"/>
        <w:right w:val="none" w:sz="0" w:space="0" w:color="auto"/>
      </w:divBdr>
    </w:div>
    <w:div w:id="466320342">
      <w:bodyDiv w:val="1"/>
      <w:marLeft w:val="0"/>
      <w:marRight w:val="0"/>
      <w:marTop w:val="0"/>
      <w:marBottom w:val="0"/>
      <w:divBdr>
        <w:top w:val="none" w:sz="0" w:space="0" w:color="auto"/>
        <w:left w:val="none" w:sz="0" w:space="0" w:color="auto"/>
        <w:bottom w:val="none" w:sz="0" w:space="0" w:color="auto"/>
        <w:right w:val="none" w:sz="0" w:space="0" w:color="auto"/>
      </w:divBdr>
    </w:div>
    <w:div w:id="470562762">
      <w:bodyDiv w:val="1"/>
      <w:marLeft w:val="0"/>
      <w:marRight w:val="0"/>
      <w:marTop w:val="0"/>
      <w:marBottom w:val="0"/>
      <w:divBdr>
        <w:top w:val="none" w:sz="0" w:space="0" w:color="auto"/>
        <w:left w:val="none" w:sz="0" w:space="0" w:color="auto"/>
        <w:bottom w:val="none" w:sz="0" w:space="0" w:color="auto"/>
        <w:right w:val="none" w:sz="0" w:space="0" w:color="auto"/>
      </w:divBdr>
    </w:div>
    <w:div w:id="536547542">
      <w:bodyDiv w:val="1"/>
      <w:marLeft w:val="0"/>
      <w:marRight w:val="0"/>
      <w:marTop w:val="0"/>
      <w:marBottom w:val="0"/>
      <w:divBdr>
        <w:top w:val="none" w:sz="0" w:space="0" w:color="auto"/>
        <w:left w:val="none" w:sz="0" w:space="0" w:color="auto"/>
        <w:bottom w:val="none" w:sz="0" w:space="0" w:color="auto"/>
        <w:right w:val="none" w:sz="0" w:space="0" w:color="auto"/>
      </w:divBdr>
    </w:div>
    <w:div w:id="631640843">
      <w:bodyDiv w:val="1"/>
      <w:marLeft w:val="0"/>
      <w:marRight w:val="0"/>
      <w:marTop w:val="0"/>
      <w:marBottom w:val="0"/>
      <w:divBdr>
        <w:top w:val="none" w:sz="0" w:space="0" w:color="auto"/>
        <w:left w:val="none" w:sz="0" w:space="0" w:color="auto"/>
        <w:bottom w:val="none" w:sz="0" w:space="0" w:color="auto"/>
        <w:right w:val="none" w:sz="0" w:space="0" w:color="auto"/>
      </w:divBdr>
    </w:div>
    <w:div w:id="678774046">
      <w:bodyDiv w:val="1"/>
      <w:marLeft w:val="0"/>
      <w:marRight w:val="0"/>
      <w:marTop w:val="0"/>
      <w:marBottom w:val="0"/>
      <w:divBdr>
        <w:top w:val="none" w:sz="0" w:space="0" w:color="auto"/>
        <w:left w:val="none" w:sz="0" w:space="0" w:color="auto"/>
        <w:bottom w:val="none" w:sz="0" w:space="0" w:color="auto"/>
        <w:right w:val="none" w:sz="0" w:space="0" w:color="auto"/>
      </w:divBdr>
    </w:div>
    <w:div w:id="731393544">
      <w:bodyDiv w:val="1"/>
      <w:marLeft w:val="0"/>
      <w:marRight w:val="0"/>
      <w:marTop w:val="0"/>
      <w:marBottom w:val="0"/>
      <w:divBdr>
        <w:top w:val="none" w:sz="0" w:space="0" w:color="auto"/>
        <w:left w:val="none" w:sz="0" w:space="0" w:color="auto"/>
        <w:bottom w:val="none" w:sz="0" w:space="0" w:color="auto"/>
        <w:right w:val="none" w:sz="0" w:space="0" w:color="auto"/>
      </w:divBdr>
    </w:div>
    <w:div w:id="781918210">
      <w:bodyDiv w:val="1"/>
      <w:marLeft w:val="0"/>
      <w:marRight w:val="0"/>
      <w:marTop w:val="0"/>
      <w:marBottom w:val="0"/>
      <w:divBdr>
        <w:top w:val="none" w:sz="0" w:space="0" w:color="auto"/>
        <w:left w:val="none" w:sz="0" w:space="0" w:color="auto"/>
        <w:bottom w:val="none" w:sz="0" w:space="0" w:color="auto"/>
        <w:right w:val="none" w:sz="0" w:space="0" w:color="auto"/>
      </w:divBdr>
    </w:div>
    <w:div w:id="822694064">
      <w:bodyDiv w:val="1"/>
      <w:marLeft w:val="0"/>
      <w:marRight w:val="0"/>
      <w:marTop w:val="0"/>
      <w:marBottom w:val="0"/>
      <w:divBdr>
        <w:top w:val="none" w:sz="0" w:space="0" w:color="auto"/>
        <w:left w:val="none" w:sz="0" w:space="0" w:color="auto"/>
        <w:bottom w:val="none" w:sz="0" w:space="0" w:color="auto"/>
        <w:right w:val="none" w:sz="0" w:space="0" w:color="auto"/>
      </w:divBdr>
    </w:div>
    <w:div w:id="843397675">
      <w:bodyDiv w:val="1"/>
      <w:marLeft w:val="0"/>
      <w:marRight w:val="0"/>
      <w:marTop w:val="0"/>
      <w:marBottom w:val="0"/>
      <w:divBdr>
        <w:top w:val="none" w:sz="0" w:space="0" w:color="auto"/>
        <w:left w:val="none" w:sz="0" w:space="0" w:color="auto"/>
        <w:bottom w:val="none" w:sz="0" w:space="0" w:color="auto"/>
        <w:right w:val="none" w:sz="0" w:space="0" w:color="auto"/>
      </w:divBdr>
    </w:div>
    <w:div w:id="853570183">
      <w:bodyDiv w:val="1"/>
      <w:marLeft w:val="0"/>
      <w:marRight w:val="0"/>
      <w:marTop w:val="0"/>
      <w:marBottom w:val="0"/>
      <w:divBdr>
        <w:top w:val="none" w:sz="0" w:space="0" w:color="auto"/>
        <w:left w:val="none" w:sz="0" w:space="0" w:color="auto"/>
        <w:bottom w:val="none" w:sz="0" w:space="0" w:color="auto"/>
        <w:right w:val="none" w:sz="0" w:space="0" w:color="auto"/>
      </w:divBdr>
    </w:div>
    <w:div w:id="986283683">
      <w:bodyDiv w:val="1"/>
      <w:marLeft w:val="0"/>
      <w:marRight w:val="0"/>
      <w:marTop w:val="0"/>
      <w:marBottom w:val="0"/>
      <w:divBdr>
        <w:top w:val="none" w:sz="0" w:space="0" w:color="auto"/>
        <w:left w:val="none" w:sz="0" w:space="0" w:color="auto"/>
        <w:bottom w:val="none" w:sz="0" w:space="0" w:color="auto"/>
        <w:right w:val="none" w:sz="0" w:space="0" w:color="auto"/>
      </w:divBdr>
    </w:div>
    <w:div w:id="1023243066">
      <w:bodyDiv w:val="1"/>
      <w:marLeft w:val="0"/>
      <w:marRight w:val="0"/>
      <w:marTop w:val="0"/>
      <w:marBottom w:val="0"/>
      <w:divBdr>
        <w:top w:val="none" w:sz="0" w:space="0" w:color="auto"/>
        <w:left w:val="none" w:sz="0" w:space="0" w:color="auto"/>
        <w:bottom w:val="none" w:sz="0" w:space="0" w:color="auto"/>
        <w:right w:val="none" w:sz="0" w:space="0" w:color="auto"/>
      </w:divBdr>
    </w:div>
    <w:div w:id="1029919255">
      <w:bodyDiv w:val="1"/>
      <w:marLeft w:val="0"/>
      <w:marRight w:val="0"/>
      <w:marTop w:val="0"/>
      <w:marBottom w:val="0"/>
      <w:divBdr>
        <w:top w:val="none" w:sz="0" w:space="0" w:color="auto"/>
        <w:left w:val="none" w:sz="0" w:space="0" w:color="auto"/>
        <w:bottom w:val="none" w:sz="0" w:space="0" w:color="auto"/>
        <w:right w:val="none" w:sz="0" w:space="0" w:color="auto"/>
      </w:divBdr>
    </w:div>
    <w:div w:id="1059867282">
      <w:bodyDiv w:val="1"/>
      <w:marLeft w:val="0"/>
      <w:marRight w:val="0"/>
      <w:marTop w:val="0"/>
      <w:marBottom w:val="0"/>
      <w:divBdr>
        <w:top w:val="none" w:sz="0" w:space="0" w:color="auto"/>
        <w:left w:val="none" w:sz="0" w:space="0" w:color="auto"/>
        <w:bottom w:val="none" w:sz="0" w:space="0" w:color="auto"/>
        <w:right w:val="none" w:sz="0" w:space="0" w:color="auto"/>
      </w:divBdr>
    </w:div>
    <w:div w:id="1144350002">
      <w:bodyDiv w:val="1"/>
      <w:marLeft w:val="0"/>
      <w:marRight w:val="0"/>
      <w:marTop w:val="0"/>
      <w:marBottom w:val="0"/>
      <w:divBdr>
        <w:top w:val="none" w:sz="0" w:space="0" w:color="auto"/>
        <w:left w:val="none" w:sz="0" w:space="0" w:color="auto"/>
        <w:bottom w:val="none" w:sz="0" w:space="0" w:color="auto"/>
        <w:right w:val="none" w:sz="0" w:space="0" w:color="auto"/>
      </w:divBdr>
    </w:div>
    <w:div w:id="1167944022">
      <w:bodyDiv w:val="1"/>
      <w:marLeft w:val="0"/>
      <w:marRight w:val="0"/>
      <w:marTop w:val="0"/>
      <w:marBottom w:val="0"/>
      <w:divBdr>
        <w:top w:val="none" w:sz="0" w:space="0" w:color="auto"/>
        <w:left w:val="none" w:sz="0" w:space="0" w:color="auto"/>
        <w:bottom w:val="none" w:sz="0" w:space="0" w:color="auto"/>
        <w:right w:val="none" w:sz="0" w:space="0" w:color="auto"/>
      </w:divBdr>
    </w:div>
    <w:div w:id="1181435833">
      <w:bodyDiv w:val="1"/>
      <w:marLeft w:val="0"/>
      <w:marRight w:val="0"/>
      <w:marTop w:val="0"/>
      <w:marBottom w:val="0"/>
      <w:divBdr>
        <w:top w:val="none" w:sz="0" w:space="0" w:color="auto"/>
        <w:left w:val="none" w:sz="0" w:space="0" w:color="auto"/>
        <w:bottom w:val="none" w:sz="0" w:space="0" w:color="auto"/>
        <w:right w:val="none" w:sz="0" w:space="0" w:color="auto"/>
      </w:divBdr>
    </w:div>
    <w:div w:id="1194271363">
      <w:bodyDiv w:val="1"/>
      <w:marLeft w:val="0"/>
      <w:marRight w:val="0"/>
      <w:marTop w:val="0"/>
      <w:marBottom w:val="0"/>
      <w:divBdr>
        <w:top w:val="none" w:sz="0" w:space="0" w:color="auto"/>
        <w:left w:val="none" w:sz="0" w:space="0" w:color="auto"/>
        <w:bottom w:val="none" w:sz="0" w:space="0" w:color="auto"/>
        <w:right w:val="none" w:sz="0" w:space="0" w:color="auto"/>
      </w:divBdr>
    </w:div>
    <w:div w:id="1290933569">
      <w:bodyDiv w:val="1"/>
      <w:marLeft w:val="0"/>
      <w:marRight w:val="0"/>
      <w:marTop w:val="0"/>
      <w:marBottom w:val="0"/>
      <w:divBdr>
        <w:top w:val="none" w:sz="0" w:space="0" w:color="auto"/>
        <w:left w:val="none" w:sz="0" w:space="0" w:color="auto"/>
        <w:bottom w:val="none" w:sz="0" w:space="0" w:color="auto"/>
        <w:right w:val="none" w:sz="0" w:space="0" w:color="auto"/>
      </w:divBdr>
    </w:div>
    <w:div w:id="1317034542">
      <w:bodyDiv w:val="1"/>
      <w:marLeft w:val="0"/>
      <w:marRight w:val="0"/>
      <w:marTop w:val="0"/>
      <w:marBottom w:val="0"/>
      <w:divBdr>
        <w:top w:val="none" w:sz="0" w:space="0" w:color="auto"/>
        <w:left w:val="none" w:sz="0" w:space="0" w:color="auto"/>
        <w:bottom w:val="none" w:sz="0" w:space="0" w:color="auto"/>
        <w:right w:val="none" w:sz="0" w:space="0" w:color="auto"/>
      </w:divBdr>
    </w:div>
    <w:div w:id="1317106649">
      <w:bodyDiv w:val="1"/>
      <w:marLeft w:val="0"/>
      <w:marRight w:val="0"/>
      <w:marTop w:val="0"/>
      <w:marBottom w:val="0"/>
      <w:divBdr>
        <w:top w:val="none" w:sz="0" w:space="0" w:color="auto"/>
        <w:left w:val="none" w:sz="0" w:space="0" w:color="auto"/>
        <w:bottom w:val="none" w:sz="0" w:space="0" w:color="auto"/>
        <w:right w:val="none" w:sz="0" w:space="0" w:color="auto"/>
      </w:divBdr>
    </w:div>
    <w:div w:id="1378356835">
      <w:bodyDiv w:val="1"/>
      <w:marLeft w:val="0"/>
      <w:marRight w:val="0"/>
      <w:marTop w:val="0"/>
      <w:marBottom w:val="0"/>
      <w:divBdr>
        <w:top w:val="none" w:sz="0" w:space="0" w:color="auto"/>
        <w:left w:val="none" w:sz="0" w:space="0" w:color="auto"/>
        <w:bottom w:val="none" w:sz="0" w:space="0" w:color="auto"/>
        <w:right w:val="none" w:sz="0" w:space="0" w:color="auto"/>
      </w:divBdr>
    </w:div>
    <w:div w:id="1489131853">
      <w:bodyDiv w:val="1"/>
      <w:marLeft w:val="0"/>
      <w:marRight w:val="0"/>
      <w:marTop w:val="0"/>
      <w:marBottom w:val="0"/>
      <w:divBdr>
        <w:top w:val="none" w:sz="0" w:space="0" w:color="auto"/>
        <w:left w:val="none" w:sz="0" w:space="0" w:color="auto"/>
        <w:bottom w:val="none" w:sz="0" w:space="0" w:color="auto"/>
        <w:right w:val="none" w:sz="0" w:space="0" w:color="auto"/>
      </w:divBdr>
    </w:div>
    <w:div w:id="1492335769">
      <w:bodyDiv w:val="1"/>
      <w:marLeft w:val="0"/>
      <w:marRight w:val="0"/>
      <w:marTop w:val="0"/>
      <w:marBottom w:val="0"/>
      <w:divBdr>
        <w:top w:val="none" w:sz="0" w:space="0" w:color="auto"/>
        <w:left w:val="none" w:sz="0" w:space="0" w:color="auto"/>
        <w:bottom w:val="none" w:sz="0" w:space="0" w:color="auto"/>
        <w:right w:val="none" w:sz="0" w:space="0" w:color="auto"/>
      </w:divBdr>
    </w:div>
    <w:div w:id="1504512460">
      <w:bodyDiv w:val="1"/>
      <w:marLeft w:val="0"/>
      <w:marRight w:val="0"/>
      <w:marTop w:val="0"/>
      <w:marBottom w:val="0"/>
      <w:divBdr>
        <w:top w:val="none" w:sz="0" w:space="0" w:color="auto"/>
        <w:left w:val="none" w:sz="0" w:space="0" w:color="auto"/>
        <w:bottom w:val="none" w:sz="0" w:space="0" w:color="auto"/>
        <w:right w:val="none" w:sz="0" w:space="0" w:color="auto"/>
      </w:divBdr>
    </w:div>
    <w:div w:id="1504927616">
      <w:bodyDiv w:val="1"/>
      <w:marLeft w:val="0"/>
      <w:marRight w:val="0"/>
      <w:marTop w:val="0"/>
      <w:marBottom w:val="0"/>
      <w:divBdr>
        <w:top w:val="none" w:sz="0" w:space="0" w:color="auto"/>
        <w:left w:val="none" w:sz="0" w:space="0" w:color="auto"/>
        <w:bottom w:val="none" w:sz="0" w:space="0" w:color="auto"/>
        <w:right w:val="none" w:sz="0" w:space="0" w:color="auto"/>
      </w:divBdr>
    </w:div>
    <w:div w:id="1562134541">
      <w:bodyDiv w:val="1"/>
      <w:marLeft w:val="0"/>
      <w:marRight w:val="0"/>
      <w:marTop w:val="0"/>
      <w:marBottom w:val="0"/>
      <w:divBdr>
        <w:top w:val="none" w:sz="0" w:space="0" w:color="auto"/>
        <w:left w:val="none" w:sz="0" w:space="0" w:color="auto"/>
        <w:bottom w:val="none" w:sz="0" w:space="0" w:color="auto"/>
        <w:right w:val="none" w:sz="0" w:space="0" w:color="auto"/>
      </w:divBdr>
    </w:div>
    <w:div w:id="1671830433">
      <w:bodyDiv w:val="1"/>
      <w:marLeft w:val="0"/>
      <w:marRight w:val="0"/>
      <w:marTop w:val="0"/>
      <w:marBottom w:val="0"/>
      <w:divBdr>
        <w:top w:val="none" w:sz="0" w:space="0" w:color="auto"/>
        <w:left w:val="none" w:sz="0" w:space="0" w:color="auto"/>
        <w:bottom w:val="none" w:sz="0" w:space="0" w:color="auto"/>
        <w:right w:val="none" w:sz="0" w:space="0" w:color="auto"/>
      </w:divBdr>
    </w:div>
    <w:div w:id="1708138111">
      <w:bodyDiv w:val="1"/>
      <w:marLeft w:val="0"/>
      <w:marRight w:val="0"/>
      <w:marTop w:val="0"/>
      <w:marBottom w:val="0"/>
      <w:divBdr>
        <w:top w:val="none" w:sz="0" w:space="0" w:color="auto"/>
        <w:left w:val="none" w:sz="0" w:space="0" w:color="auto"/>
        <w:bottom w:val="none" w:sz="0" w:space="0" w:color="auto"/>
        <w:right w:val="none" w:sz="0" w:space="0" w:color="auto"/>
      </w:divBdr>
    </w:div>
    <w:div w:id="1798835077">
      <w:bodyDiv w:val="1"/>
      <w:marLeft w:val="0"/>
      <w:marRight w:val="0"/>
      <w:marTop w:val="0"/>
      <w:marBottom w:val="0"/>
      <w:divBdr>
        <w:top w:val="none" w:sz="0" w:space="0" w:color="auto"/>
        <w:left w:val="none" w:sz="0" w:space="0" w:color="auto"/>
        <w:bottom w:val="none" w:sz="0" w:space="0" w:color="auto"/>
        <w:right w:val="none" w:sz="0" w:space="0" w:color="auto"/>
      </w:divBdr>
    </w:div>
    <w:div w:id="1840073722">
      <w:bodyDiv w:val="1"/>
      <w:marLeft w:val="0"/>
      <w:marRight w:val="0"/>
      <w:marTop w:val="0"/>
      <w:marBottom w:val="0"/>
      <w:divBdr>
        <w:top w:val="none" w:sz="0" w:space="0" w:color="auto"/>
        <w:left w:val="none" w:sz="0" w:space="0" w:color="auto"/>
        <w:bottom w:val="none" w:sz="0" w:space="0" w:color="auto"/>
        <w:right w:val="none" w:sz="0" w:space="0" w:color="auto"/>
      </w:divBdr>
    </w:div>
    <w:div w:id="1952320873">
      <w:bodyDiv w:val="1"/>
      <w:marLeft w:val="0"/>
      <w:marRight w:val="0"/>
      <w:marTop w:val="0"/>
      <w:marBottom w:val="0"/>
      <w:divBdr>
        <w:top w:val="none" w:sz="0" w:space="0" w:color="auto"/>
        <w:left w:val="none" w:sz="0" w:space="0" w:color="auto"/>
        <w:bottom w:val="none" w:sz="0" w:space="0" w:color="auto"/>
        <w:right w:val="none" w:sz="0" w:space="0" w:color="auto"/>
      </w:divBdr>
    </w:div>
    <w:div w:id="2051102280">
      <w:bodyDiv w:val="1"/>
      <w:marLeft w:val="0"/>
      <w:marRight w:val="0"/>
      <w:marTop w:val="0"/>
      <w:marBottom w:val="0"/>
      <w:divBdr>
        <w:top w:val="none" w:sz="0" w:space="0" w:color="auto"/>
        <w:left w:val="none" w:sz="0" w:space="0" w:color="auto"/>
        <w:bottom w:val="none" w:sz="0" w:space="0" w:color="auto"/>
        <w:right w:val="none" w:sz="0" w:space="0" w:color="auto"/>
      </w:divBdr>
    </w:div>
    <w:div w:id="2075541494">
      <w:bodyDiv w:val="1"/>
      <w:marLeft w:val="0"/>
      <w:marRight w:val="0"/>
      <w:marTop w:val="0"/>
      <w:marBottom w:val="0"/>
      <w:divBdr>
        <w:top w:val="none" w:sz="0" w:space="0" w:color="auto"/>
        <w:left w:val="none" w:sz="0" w:space="0" w:color="auto"/>
        <w:bottom w:val="none" w:sz="0" w:space="0" w:color="auto"/>
        <w:right w:val="none" w:sz="0" w:space="0" w:color="auto"/>
      </w:divBdr>
    </w:div>
    <w:div w:id="2121487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48AB6-FB4F-4025-865D-E3B8BE4B2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3623</Words>
  <Characters>20656</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Marsh &amp; McLennan Companies</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Diana.Bedoya</dc:creator>
  <cp:lastModifiedBy>Usuario</cp:lastModifiedBy>
  <cp:revision>2</cp:revision>
  <cp:lastPrinted>2019-03-28T16:00:00Z</cp:lastPrinted>
  <dcterms:created xsi:type="dcterms:W3CDTF">2020-11-11T20:16:00Z</dcterms:created>
  <dcterms:modified xsi:type="dcterms:W3CDTF">2020-11-11T20:16:00Z</dcterms:modified>
</cp:coreProperties>
</file>